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C8" w:rsidRPr="00840F45" w:rsidRDefault="003423C8" w:rsidP="005C0A9C">
      <w:pPr>
        <w:pStyle w:val="a9"/>
        <w:spacing w:before="240" w:after="240"/>
        <w:ind w:firstLine="0"/>
        <w:jc w:val="center"/>
        <w:rPr>
          <w:b/>
          <w:sz w:val="24"/>
          <w:szCs w:val="24"/>
        </w:rPr>
      </w:pPr>
      <w:r w:rsidRPr="00840F45">
        <w:rPr>
          <w:b/>
          <w:sz w:val="24"/>
          <w:szCs w:val="24"/>
        </w:rPr>
        <w:t xml:space="preserve">Решение задач </w:t>
      </w:r>
      <w:r w:rsidR="00840F45" w:rsidRPr="00840F45">
        <w:rPr>
          <w:b/>
          <w:sz w:val="24"/>
          <w:szCs w:val="24"/>
        </w:rPr>
        <w:t xml:space="preserve">поиска решения </w:t>
      </w:r>
      <w:r w:rsidRPr="00840F45">
        <w:rPr>
          <w:b/>
          <w:sz w:val="24"/>
          <w:szCs w:val="24"/>
        </w:rPr>
        <w:t>средствами Excel</w:t>
      </w:r>
    </w:p>
    <w:p w:rsidR="003423C8" w:rsidRPr="00840F45" w:rsidRDefault="003423C8" w:rsidP="005C0A9C">
      <w:pPr>
        <w:pStyle w:val="2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Задача распределения ресурсов</w:t>
      </w:r>
    </w:p>
    <w:p w:rsidR="003423C8" w:rsidRPr="00840F45" w:rsidRDefault="003423C8" w:rsidP="005C0A9C">
      <w:pPr>
        <w:pStyle w:val="a3"/>
        <w:ind w:firstLine="720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Цех предприятия производит два вида продукции (например, сыр и брынзу). Следует рассчитать оптимальные объёмы производства этих продуктов (план выпуска) с точки зрения максимизации прибыли. Прибыль от реализации одной единицы сыра составляет 5 денежных единиц, брынзы – 2.</w:t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На предприятии действуют ограничения по сырью, трудовым ресурсам и транспортным расходам:</w:t>
      </w:r>
    </w:p>
    <w:p w:rsidR="003423C8" w:rsidRPr="00840F45" w:rsidRDefault="003423C8" w:rsidP="005C0A9C">
      <w:pPr>
        <w:pStyle w:val="a3"/>
        <w:numPr>
          <w:ilvl w:val="0"/>
          <w:numId w:val="1"/>
        </w:numPr>
        <w:tabs>
          <w:tab w:val="num" w:pos="1069"/>
        </w:tabs>
        <w:ind w:left="106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для производства одной единицы сыра требуется 3 единицы сырья, брынзы – 6. Цех располагает 18 единицами сырья;</w:t>
      </w:r>
    </w:p>
    <w:p w:rsidR="003423C8" w:rsidRPr="00840F45" w:rsidRDefault="003423C8" w:rsidP="005C0A9C">
      <w:pPr>
        <w:pStyle w:val="a3"/>
        <w:numPr>
          <w:ilvl w:val="0"/>
          <w:numId w:val="1"/>
        </w:numPr>
        <w:tabs>
          <w:tab w:val="num" w:pos="1069"/>
        </w:tabs>
        <w:ind w:left="106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для производства одной единицы сыра требуется 6 рабочих, брынзы – 4. В цехе 24 рабочих;</w:t>
      </w:r>
    </w:p>
    <w:p w:rsidR="003423C8" w:rsidRPr="00840F45" w:rsidRDefault="003423C8" w:rsidP="005C0A9C">
      <w:pPr>
        <w:pStyle w:val="a3"/>
        <w:numPr>
          <w:ilvl w:val="0"/>
          <w:numId w:val="2"/>
        </w:numPr>
        <w:ind w:left="106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транспортные расходы на перевозку одной единицы сыра составляют 2 денежных единицы, брынзы – 1. Эти затраты не могут быть менее 2 единиц (цена аренды одного автомобиля минимальной грузоподъёмности в течение дня). Полагая, что вся дневная продукция цеха может быть вывезена на одном грузовике.</w:t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Кроме того, очевидно, что ни одна из переменных (число единиц продукции) не может быть отрицательной.</w:t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i/>
          <w:sz w:val="24"/>
          <w:szCs w:val="24"/>
        </w:rPr>
        <w:t>Решение</w:t>
      </w:r>
      <w:r w:rsidRPr="00840F45">
        <w:rPr>
          <w:b w:val="0"/>
          <w:sz w:val="24"/>
          <w:szCs w:val="24"/>
        </w:rPr>
        <w:t>:</w:t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 xml:space="preserve">Обозначим через </w:t>
      </w:r>
      <w:r w:rsidRPr="00840F45">
        <w:rPr>
          <w:b w:val="0"/>
          <w:i/>
          <w:sz w:val="24"/>
          <w:szCs w:val="24"/>
        </w:rPr>
        <w:t>х</w:t>
      </w:r>
      <w:r w:rsidRPr="00840F45">
        <w:rPr>
          <w:b w:val="0"/>
          <w:i/>
          <w:sz w:val="24"/>
          <w:szCs w:val="24"/>
          <w:vertAlign w:val="subscript"/>
        </w:rPr>
        <w:t>1</w:t>
      </w:r>
      <w:r w:rsidRPr="00840F45">
        <w:rPr>
          <w:b w:val="0"/>
          <w:sz w:val="24"/>
          <w:szCs w:val="24"/>
        </w:rPr>
        <w:t xml:space="preserve"> и </w:t>
      </w:r>
      <w:r w:rsidRPr="00840F45">
        <w:rPr>
          <w:b w:val="0"/>
          <w:i/>
          <w:sz w:val="24"/>
          <w:szCs w:val="24"/>
        </w:rPr>
        <w:t>х</w:t>
      </w:r>
      <w:r w:rsidRPr="00840F45">
        <w:rPr>
          <w:b w:val="0"/>
          <w:i/>
          <w:sz w:val="24"/>
          <w:szCs w:val="24"/>
          <w:vertAlign w:val="subscript"/>
        </w:rPr>
        <w:t>2</w:t>
      </w:r>
      <w:r w:rsidRPr="00840F45">
        <w:rPr>
          <w:b w:val="0"/>
          <w:sz w:val="24"/>
          <w:szCs w:val="24"/>
        </w:rPr>
        <w:t xml:space="preserve"> – план выпуска сыра и брынзы соответственно.</w:t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Для удобства записи соотношений, из которых можно вычислить оптимальные объёмы производства сыра и брынзы, представим условие задачи компактно – в виде 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4"/>
        <w:gridCol w:w="1843"/>
        <w:gridCol w:w="1842"/>
        <w:gridCol w:w="1558"/>
      </w:tblGrid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  <w:vMerge w:val="restart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Вид ресурсов</w:t>
            </w:r>
          </w:p>
        </w:tc>
        <w:tc>
          <w:tcPr>
            <w:tcW w:w="3685" w:type="dxa"/>
            <w:gridSpan w:val="2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Наименование продукта</w:t>
            </w:r>
          </w:p>
        </w:tc>
        <w:tc>
          <w:tcPr>
            <w:tcW w:w="1558" w:type="dxa"/>
            <w:vMerge w:val="restart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Запас</w:t>
            </w:r>
            <w:r w:rsidRPr="00840F45">
              <w:rPr>
                <w:b w:val="0"/>
                <w:sz w:val="24"/>
                <w:szCs w:val="24"/>
              </w:rPr>
              <w:br/>
              <w:t>ресурсов</w:t>
            </w:r>
          </w:p>
        </w:tc>
      </w:tr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  <w:vMerge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сыр</w:t>
            </w:r>
          </w:p>
        </w:tc>
        <w:tc>
          <w:tcPr>
            <w:tcW w:w="1842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брынза</w:t>
            </w:r>
          </w:p>
        </w:tc>
        <w:tc>
          <w:tcPr>
            <w:tcW w:w="1558" w:type="dxa"/>
            <w:vMerge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</w:p>
        </w:tc>
      </w:tr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</w:tcPr>
          <w:p w:rsidR="003423C8" w:rsidRPr="00840F45" w:rsidRDefault="003423C8" w:rsidP="005C0A9C">
            <w:pPr>
              <w:pStyle w:val="a3"/>
              <w:spacing w:before="60" w:after="60"/>
              <w:jc w:val="both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Сырьё</w:t>
            </w:r>
          </w:p>
        </w:tc>
        <w:tc>
          <w:tcPr>
            <w:tcW w:w="1843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18</w:t>
            </w:r>
          </w:p>
        </w:tc>
      </w:tr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</w:tcPr>
          <w:p w:rsidR="003423C8" w:rsidRPr="00840F45" w:rsidRDefault="003423C8" w:rsidP="005C0A9C">
            <w:pPr>
              <w:pStyle w:val="a3"/>
              <w:spacing w:before="60" w:after="60"/>
              <w:jc w:val="both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Трудовые ресурсы</w:t>
            </w:r>
          </w:p>
        </w:tc>
        <w:tc>
          <w:tcPr>
            <w:tcW w:w="1843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24</w:t>
            </w:r>
          </w:p>
        </w:tc>
      </w:tr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</w:tcPr>
          <w:p w:rsidR="003423C8" w:rsidRPr="00840F45" w:rsidRDefault="003423C8" w:rsidP="005C0A9C">
            <w:pPr>
              <w:pStyle w:val="a3"/>
              <w:spacing w:before="60" w:after="60"/>
              <w:jc w:val="both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Транспортные расходы</w:t>
            </w:r>
          </w:p>
        </w:tc>
        <w:tc>
          <w:tcPr>
            <w:tcW w:w="1843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2</w:t>
            </w:r>
          </w:p>
        </w:tc>
      </w:tr>
      <w:tr w:rsidR="003423C8" w:rsidRPr="00840F45" w:rsidTr="00566843">
        <w:trPr>
          <w:cantSplit/>
          <w:trHeight w:val="545"/>
          <w:jc w:val="center"/>
        </w:trPr>
        <w:tc>
          <w:tcPr>
            <w:tcW w:w="3614" w:type="dxa"/>
          </w:tcPr>
          <w:p w:rsidR="003423C8" w:rsidRPr="00840F45" w:rsidRDefault="003423C8" w:rsidP="005C0A9C">
            <w:pPr>
              <w:pStyle w:val="a3"/>
              <w:spacing w:before="60" w:after="60"/>
              <w:jc w:val="both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Прибыль</w:t>
            </w:r>
          </w:p>
        </w:tc>
        <w:tc>
          <w:tcPr>
            <w:tcW w:w="1843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  <w:r w:rsidRPr="00840F4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3423C8" w:rsidRPr="00840F45" w:rsidRDefault="003423C8" w:rsidP="005C0A9C">
            <w:pPr>
              <w:pStyle w:val="a3"/>
              <w:spacing w:before="60" w:after="60"/>
              <w:rPr>
                <w:b w:val="0"/>
                <w:sz w:val="24"/>
                <w:szCs w:val="24"/>
              </w:rPr>
            </w:pPr>
          </w:p>
        </w:tc>
      </w:tr>
    </w:tbl>
    <w:p w:rsidR="003423C8" w:rsidRPr="00840F45" w:rsidRDefault="003423C8" w:rsidP="005C0A9C">
      <w:pPr>
        <w:pStyle w:val="a3"/>
        <w:spacing w:before="120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Строим математическую модель:</w:t>
      </w:r>
    </w:p>
    <w:p w:rsidR="003423C8" w:rsidRPr="00840F45" w:rsidRDefault="003423C8" w:rsidP="005C0A9C">
      <w:pPr>
        <w:pStyle w:val="a3"/>
        <w:tabs>
          <w:tab w:val="left" w:pos="5387"/>
        </w:tabs>
        <w:ind w:left="1134" w:hanging="567"/>
        <w:jc w:val="left"/>
        <w:rPr>
          <w:b w:val="0"/>
          <w:sz w:val="24"/>
          <w:szCs w:val="24"/>
        </w:rPr>
      </w:pPr>
      <w:r w:rsidRPr="00840F45">
        <w:rPr>
          <w:b w:val="0"/>
          <w:i/>
          <w:sz w:val="24"/>
          <w:szCs w:val="24"/>
          <w:lang w:val="en-US"/>
        </w:rPr>
        <w:t>L</w:t>
      </w:r>
      <w:r w:rsidRPr="00840F45">
        <w:rPr>
          <w:b w:val="0"/>
          <w:i/>
          <w:sz w:val="24"/>
          <w:szCs w:val="24"/>
        </w:rPr>
        <w:t>(</w:t>
      </w:r>
      <w:r w:rsidRPr="00840F45">
        <w:rPr>
          <w:b w:val="0"/>
          <w:i/>
          <w:sz w:val="24"/>
          <w:szCs w:val="24"/>
          <w:lang w:val="en-US"/>
        </w:rPr>
        <w:t>x</w:t>
      </w:r>
      <w:r w:rsidRPr="00840F45">
        <w:rPr>
          <w:b w:val="0"/>
          <w:i/>
          <w:sz w:val="24"/>
          <w:szCs w:val="24"/>
        </w:rPr>
        <w:t>) = 5</w:t>
      </w:r>
      <w:r w:rsidRPr="00840F45">
        <w:rPr>
          <w:b w:val="0"/>
          <w:i/>
          <w:sz w:val="24"/>
          <w:szCs w:val="24"/>
          <w:lang w:val="en-US"/>
        </w:rPr>
        <w:t>x</w:t>
      </w:r>
      <w:r w:rsidRPr="00840F45">
        <w:rPr>
          <w:b w:val="0"/>
          <w:i/>
          <w:sz w:val="24"/>
          <w:szCs w:val="24"/>
          <w:vertAlign w:val="subscript"/>
        </w:rPr>
        <w:t>1</w:t>
      </w:r>
      <w:r w:rsidRPr="00840F45">
        <w:rPr>
          <w:b w:val="0"/>
          <w:i/>
          <w:sz w:val="24"/>
          <w:szCs w:val="24"/>
        </w:rPr>
        <w:t xml:space="preserve"> + 2</w:t>
      </w:r>
      <w:r w:rsidRPr="00840F45">
        <w:rPr>
          <w:b w:val="0"/>
          <w:i/>
          <w:sz w:val="24"/>
          <w:szCs w:val="24"/>
          <w:lang w:val="en-US"/>
        </w:rPr>
        <w:t>x</w:t>
      </w:r>
      <w:r w:rsidRPr="00840F45">
        <w:rPr>
          <w:b w:val="0"/>
          <w:i/>
          <w:sz w:val="24"/>
          <w:szCs w:val="24"/>
          <w:vertAlign w:val="subscript"/>
        </w:rPr>
        <w:t>2</w:t>
      </w:r>
      <w:r w:rsidRPr="00840F45">
        <w:rPr>
          <w:b w:val="0"/>
          <w:i/>
          <w:sz w:val="24"/>
          <w:szCs w:val="24"/>
        </w:rPr>
        <w:t xml:space="preserve"> </w:t>
      </w:r>
      <w:r w:rsidRPr="00840F45">
        <w:rPr>
          <w:b w:val="0"/>
          <w:i/>
          <w:sz w:val="24"/>
          <w:szCs w:val="24"/>
          <w:lang w:val="en-US"/>
        </w:rPr>
        <w:sym w:font="Symbol" w:char="F0AE"/>
      </w:r>
      <w:r w:rsidRPr="00840F45">
        <w:rPr>
          <w:b w:val="0"/>
          <w:i/>
          <w:sz w:val="24"/>
          <w:szCs w:val="24"/>
        </w:rPr>
        <w:t xml:space="preserve"> </w:t>
      </w:r>
      <w:r w:rsidRPr="00840F45">
        <w:rPr>
          <w:b w:val="0"/>
          <w:i/>
          <w:sz w:val="24"/>
          <w:szCs w:val="24"/>
          <w:lang w:val="en-US"/>
        </w:rPr>
        <w:t>max</w:t>
      </w:r>
      <w:r w:rsidRPr="00840F45">
        <w:rPr>
          <w:b w:val="0"/>
          <w:sz w:val="24"/>
          <w:szCs w:val="24"/>
        </w:rPr>
        <w:tab/>
        <w:t>целевая функция</w:t>
      </w:r>
      <w:r w:rsidRPr="00840F45">
        <w:rPr>
          <w:b w:val="0"/>
          <w:sz w:val="24"/>
          <w:szCs w:val="24"/>
        </w:rPr>
        <w:br/>
      </w:r>
    </w:p>
    <w:p w:rsidR="003423C8" w:rsidRPr="00840F45" w:rsidRDefault="003423C8" w:rsidP="005C0A9C">
      <w:pPr>
        <w:pStyle w:val="a3"/>
        <w:ind w:firstLine="709"/>
        <w:jc w:val="both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 xml:space="preserve">Для решения рассмотренной задачи в среде </w:t>
      </w:r>
      <w:r w:rsidRPr="00840F45">
        <w:rPr>
          <w:b w:val="0"/>
          <w:sz w:val="24"/>
          <w:szCs w:val="24"/>
          <w:lang w:val="en-US"/>
        </w:rPr>
        <w:t>Excel</w:t>
      </w:r>
      <w:r w:rsidRPr="00840F45">
        <w:rPr>
          <w:b w:val="0"/>
          <w:sz w:val="24"/>
          <w:szCs w:val="24"/>
        </w:rPr>
        <w:t xml:space="preserve"> заполним ячейки исходными данными (в виде таблицы) и формулами математической модели.</w:t>
      </w:r>
    </w:p>
    <w:p w:rsidR="003423C8" w:rsidRPr="00840F45" w:rsidRDefault="003423C8" w:rsidP="005C0A9C">
      <w:pPr>
        <w:pStyle w:val="a3"/>
        <w:spacing w:after="120"/>
        <w:rPr>
          <w:sz w:val="24"/>
          <w:szCs w:val="24"/>
        </w:rPr>
      </w:pPr>
      <w:r w:rsidRPr="00840F45">
        <w:rPr>
          <w:sz w:val="24"/>
          <w:szCs w:val="24"/>
        </w:rPr>
        <w:t>Таблица в режиме чисел</w:t>
      </w:r>
    </w:p>
    <w:tbl>
      <w:tblPr>
        <w:tblW w:w="0" w:type="auto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1"/>
        <w:gridCol w:w="712"/>
        <w:gridCol w:w="2166"/>
        <w:gridCol w:w="851"/>
        <w:gridCol w:w="1134"/>
        <w:gridCol w:w="1516"/>
        <w:gridCol w:w="1177"/>
        <w:gridCol w:w="1658"/>
      </w:tblGrid>
      <w:tr w:rsidR="003423C8" w:rsidRPr="00840F45" w:rsidTr="005C0A9C">
        <w:trPr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2166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5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1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pStyle w:val="2"/>
              <w:rPr>
                <w:b w:val="0"/>
                <w:sz w:val="24"/>
                <w:szCs w:val="24"/>
                <w:lang w:val="en-US"/>
              </w:rPr>
            </w:pPr>
            <w:r w:rsidRPr="00840F45">
              <w:rPr>
                <w:b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177" w:type="dxa"/>
            <w:tcBorders>
              <w:left w:val="nil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658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  <w:lang w:val="en-US"/>
              </w:rPr>
              <w:t>G</w:t>
            </w:r>
          </w:p>
        </w:tc>
      </w:tr>
      <w:tr w:rsidR="003423C8" w:rsidRPr="00840F45" w:rsidTr="005C0A9C">
        <w:trPr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Сыр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Брынза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Вычисленные значения</w:t>
            </w: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Соотношения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Заданные ограничения</w:t>
            </w:r>
          </w:p>
        </w:tc>
      </w:tr>
      <w:tr w:rsidR="003423C8" w:rsidRPr="00840F45" w:rsidTr="005C0A9C">
        <w:tblPrEx>
          <w:tblCellMar>
            <w:left w:w="56" w:type="dxa"/>
            <w:right w:w="56" w:type="dxa"/>
          </w:tblCellMar>
        </w:tblPrEx>
        <w:trPr>
          <w:cantSplit/>
          <w:jc w:val="center"/>
        </w:trPr>
        <w:tc>
          <w:tcPr>
            <w:tcW w:w="481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  <w:tc>
          <w:tcPr>
            <w:tcW w:w="2878" w:type="dxa"/>
            <w:gridSpan w:val="2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Объём выпуска, Х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423C8" w:rsidRPr="00840F45" w:rsidTr="005C0A9C">
        <w:tblPrEx>
          <w:tblCellMar>
            <w:left w:w="56" w:type="dxa"/>
            <w:right w:w="56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gridSpan w:val="2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Прибыль от 1 ед.</w:t>
            </w:r>
            <w:r w:rsidRPr="00840F45">
              <w:rPr>
                <w:sz w:val="24"/>
                <w:szCs w:val="24"/>
              </w:rPr>
              <w:br/>
              <w:t xml:space="preserve">продукции 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 xml:space="preserve"> и </w:t>
            </w:r>
            <w:r w:rsidRPr="00840F45">
              <w:rPr>
                <w:sz w:val="24"/>
                <w:szCs w:val="24"/>
                <w:lang w:val="en-US"/>
              </w:rPr>
              <w:t>L</w:t>
            </w:r>
            <w:r w:rsidRPr="00840F45">
              <w:rPr>
                <w:sz w:val="24"/>
                <w:szCs w:val="24"/>
              </w:rPr>
              <w:t>(</w:t>
            </w:r>
            <w:r w:rsidRPr="00840F45">
              <w:rPr>
                <w:sz w:val="24"/>
                <w:szCs w:val="24"/>
                <w:lang w:val="en-US"/>
              </w:rPr>
              <w:t>x</w:t>
            </w:r>
            <w:r w:rsidRPr="00840F45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2,0</w:t>
            </w:r>
          </w:p>
        </w:tc>
        <w:tc>
          <w:tcPr>
            <w:tcW w:w="15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423C8" w:rsidRPr="00840F45" w:rsidTr="005C0A9C">
        <w:trPr>
          <w:cantSplit/>
          <w:trHeight w:val="435"/>
          <w:jc w:val="center"/>
        </w:trPr>
        <w:tc>
          <w:tcPr>
            <w:tcW w:w="481" w:type="dxa"/>
            <w:tcBorders>
              <w:top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vMerge w:val="restart"/>
            <w:textDirection w:val="btLr"/>
            <w:vAlign w:val="center"/>
          </w:tcPr>
          <w:p w:rsidR="003423C8" w:rsidRPr="00840F45" w:rsidRDefault="003423C8" w:rsidP="005C0A9C">
            <w:pPr>
              <w:spacing w:before="60" w:after="60"/>
              <w:ind w:left="113" w:right="113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Вид</w:t>
            </w:r>
            <w:r w:rsidRPr="00840F45">
              <w:rPr>
                <w:sz w:val="24"/>
                <w:szCs w:val="24"/>
              </w:rPr>
              <w:br/>
              <w:t>ресурса</w:t>
            </w:r>
          </w:p>
        </w:tc>
        <w:tc>
          <w:tcPr>
            <w:tcW w:w="2166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Сырьё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&lt;=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18</w:t>
            </w:r>
          </w:p>
        </w:tc>
      </w:tr>
      <w:tr w:rsidR="003423C8" w:rsidRPr="00840F45" w:rsidTr="005C0A9C">
        <w:trPr>
          <w:cantSplit/>
          <w:trHeight w:val="427"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  <w:vMerge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Труд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&lt;=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24</w:t>
            </w:r>
          </w:p>
        </w:tc>
      </w:tr>
      <w:tr w:rsidR="003423C8" w:rsidRPr="00840F45" w:rsidTr="005C0A9C">
        <w:trPr>
          <w:cantSplit/>
          <w:trHeight w:val="419"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712" w:type="dxa"/>
            <w:vMerge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</w:tr>
      <w:tr w:rsidR="003423C8" w:rsidRPr="00840F45" w:rsidTr="005C0A9C">
        <w:trPr>
          <w:cantSplit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7</w:t>
            </w:r>
          </w:p>
        </w:tc>
        <w:tc>
          <w:tcPr>
            <w:tcW w:w="2878" w:type="dxa"/>
            <w:gridSpan w:val="2"/>
            <w:vMerge w:val="restart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Положительность</w:t>
            </w:r>
            <w:r w:rsidRPr="00840F45">
              <w:rPr>
                <w:sz w:val="24"/>
                <w:szCs w:val="24"/>
              </w:rPr>
              <w:br/>
              <w:t>переменных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</w:tr>
      <w:tr w:rsidR="003423C8" w:rsidRPr="00840F45" w:rsidTr="005C0A9C">
        <w:trPr>
          <w:cantSplit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8</w:t>
            </w:r>
          </w:p>
        </w:tc>
        <w:tc>
          <w:tcPr>
            <w:tcW w:w="2878" w:type="dxa"/>
            <w:gridSpan w:val="2"/>
            <w:vMerge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65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</w:tr>
    </w:tbl>
    <w:p w:rsidR="003423C8" w:rsidRPr="00840F45" w:rsidRDefault="003423C8" w:rsidP="005C0A9C">
      <w:pPr>
        <w:pStyle w:val="a3"/>
        <w:spacing w:after="120"/>
        <w:rPr>
          <w:b w:val="0"/>
          <w:sz w:val="24"/>
          <w:szCs w:val="24"/>
        </w:rPr>
      </w:pPr>
    </w:p>
    <w:p w:rsidR="003423C8" w:rsidRPr="00840F45" w:rsidRDefault="003423C8" w:rsidP="005C0A9C">
      <w:pPr>
        <w:pStyle w:val="a3"/>
        <w:spacing w:before="120" w:after="60"/>
        <w:rPr>
          <w:sz w:val="24"/>
          <w:szCs w:val="24"/>
        </w:rPr>
      </w:pPr>
      <w:r w:rsidRPr="00840F45">
        <w:rPr>
          <w:sz w:val="24"/>
          <w:szCs w:val="24"/>
        </w:rPr>
        <w:t>Таблица в режиме формул</w:t>
      </w:r>
    </w:p>
    <w:tbl>
      <w:tblPr>
        <w:tblW w:w="0" w:type="auto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1"/>
        <w:gridCol w:w="712"/>
        <w:gridCol w:w="1982"/>
        <w:gridCol w:w="708"/>
        <w:gridCol w:w="851"/>
        <w:gridCol w:w="2453"/>
        <w:gridCol w:w="1134"/>
        <w:gridCol w:w="1374"/>
      </w:tblGrid>
      <w:tr w:rsidR="003423C8" w:rsidRPr="00840F45" w:rsidTr="000D0018">
        <w:trPr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982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2453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pStyle w:val="2"/>
              <w:rPr>
                <w:b w:val="0"/>
                <w:sz w:val="24"/>
                <w:szCs w:val="24"/>
                <w:lang w:val="en-US"/>
              </w:rPr>
            </w:pPr>
            <w:r w:rsidRPr="00840F45">
              <w:rPr>
                <w:b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tcBorders>
              <w:left w:val="nil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40F45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374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  <w:lang w:val="en-US"/>
              </w:rPr>
              <w:t>G</w:t>
            </w:r>
          </w:p>
        </w:tc>
      </w:tr>
      <w:tr w:rsidR="003423C8" w:rsidRPr="00840F45" w:rsidTr="000D0018">
        <w:trPr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Сыр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Брынза</w:t>
            </w:r>
          </w:p>
        </w:tc>
        <w:tc>
          <w:tcPr>
            <w:tcW w:w="2453" w:type="dxa"/>
            <w:tcBorders>
              <w:top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Вычисленные</w:t>
            </w:r>
            <w:r w:rsidRPr="00840F45">
              <w:rPr>
                <w:sz w:val="24"/>
                <w:szCs w:val="24"/>
              </w:rPr>
              <w:br/>
              <w:t>значения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Соотношения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Заданные ограничения</w:t>
            </w:r>
          </w:p>
        </w:tc>
      </w:tr>
      <w:tr w:rsidR="003423C8" w:rsidRPr="00840F45" w:rsidTr="000D0018">
        <w:tblPrEx>
          <w:tblCellMar>
            <w:left w:w="56" w:type="dxa"/>
            <w:right w:w="56" w:type="dxa"/>
          </w:tblCellMar>
        </w:tblPrEx>
        <w:trPr>
          <w:cantSplit/>
          <w:jc w:val="center"/>
        </w:trPr>
        <w:tc>
          <w:tcPr>
            <w:tcW w:w="481" w:type="dxa"/>
            <w:tcBorders>
              <w:bottom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3423C8" w:rsidRPr="00840F45" w:rsidRDefault="003423C8" w:rsidP="005C0A9C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F4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Объём выпуска, Х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bottom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423C8" w:rsidRPr="00840F45" w:rsidTr="000D0018">
        <w:tblPrEx>
          <w:tblCellMar>
            <w:left w:w="56" w:type="dxa"/>
            <w:right w:w="56" w:type="dxa"/>
          </w:tblCellMar>
        </w:tblPrEx>
        <w:trPr>
          <w:cantSplit/>
          <w:jc w:val="center"/>
        </w:trPr>
        <w:tc>
          <w:tcPr>
            <w:tcW w:w="4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Прибыль от 1 ед.</w:t>
            </w:r>
            <w:r w:rsidRPr="00840F45">
              <w:rPr>
                <w:sz w:val="24"/>
                <w:szCs w:val="24"/>
              </w:rPr>
              <w:br/>
              <w:t xml:space="preserve">продукции 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 xml:space="preserve"> и </w:t>
            </w:r>
            <w:r w:rsidRPr="00840F45">
              <w:rPr>
                <w:sz w:val="24"/>
                <w:szCs w:val="24"/>
                <w:lang w:val="en-US"/>
              </w:rPr>
              <w:t>L</w:t>
            </w:r>
            <w:r w:rsidRPr="00840F45">
              <w:rPr>
                <w:sz w:val="24"/>
                <w:szCs w:val="24"/>
              </w:rPr>
              <w:t>(</w:t>
            </w:r>
            <w:r w:rsidRPr="00840F45">
              <w:rPr>
                <w:sz w:val="24"/>
                <w:szCs w:val="24"/>
                <w:lang w:val="en-US"/>
              </w:rPr>
              <w:t>x</w:t>
            </w:r>
            <w:r w:rsidRPr="00840F45"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3*$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$2+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3*$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$2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423C8" w:rsidRPr="00840F45" w:rsidTr="000D0018">
        <w:trPr>
          <w:cantSplit/>
          <w:trHeight w:val="435"/>
          <w:jc w:val="center"/>
        </w:trPr>
        <w:tc>
          <w:tcPr>
            <w:tcW w:w="481" w:type="dxa"/>
            <w:tcBorders>
              <w:top w:val="single" w:sz="12" w:space="0" w:color="auto"/>
            </w:tcBorders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vMerge w:val="restart"/>
            <w:textDirection w:val="btLr"/>
            <w:vAlign w:val="center"/>
          </w:tcPr>
          <w:p w:rsidR="003423C8" w:rsidRPr="00840F45" w:rsidRDefault="003423C8" w:rsidP="005C0A9C">
            <w:pPr>
              <w:spacing w:before="60" w:after="60"/>
              <w:ind w:left="113" w:right="113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Вид</w:t>
            </w:r>
            <w:r w:rsidRPr="00840F45">
              <w:rPr>
                <w:sz w:val="24"/>
                <w:szCs w:val="24"/>
              </w:rPr>
              <w:br/>
              <w:t>ресурса</w:t>
            </w:r>
          </w:p>
        </w:tc>
        <w:tc>
          <w:tcPr>
            <w:tcW w:w="1982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Сырьё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=C3*$C$2+D4*$D$2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&lt;=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18</w:t>
            </w:r>
          </w:p>
        </w:tc>
      </w:tr>
      <w:tr w:rsidR="003423C8" w:rsidRPr="00840F45" w:rsidTr="000D0018">
        <w:trPr>
          <w:cantSplit/>
          <w:trHeight w:val="427"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  <w:vMerge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Труд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4</w:t>
            </w:r>
          </w:p>
        </w:tc>
        <w:tc>
          <w:tcPr>
            <w:tcW w:w="2453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5*$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$2+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5*$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$2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&lt;=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24</w:t>
            </w:r>
          </w:p>
        </w:tc>
      </w:tr>
      <w:tr w:rsidR="003423C8" w:rsidRPr="00840F45" w:rsidTr="000D0018">
        <w:trPr>
          <w:cantSplit/>
          <w:trHeight w:val="419"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6</w:t>
            </w:r>
          </w:p>
        </w:tc>
        <w:tc>
          <w:tcPr>
            <w:tcW w:w="712" w:type="dxa"/>
            <w:vMerge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6*$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$2+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6*$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$2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2</w:t>
            </w:r>
          </w:p>
        </w:tc>
      </w:tr>
      <w:tr w:rsidR="003423C8" w:rsidRPr="00840F45" w:rsidTr="000D0018">
        <w:trPr>
          <w:cantSplit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Положительность</w:t>
            </w:r>
            <w:r w:rsidRPr="00840F45">
              <w:rPr>
                <w:sz w:val="24"/>
                <w:szCs w:val="24"/>
              </w:rPr>
              <w:br/>
              <w:t>переменных</w:t>
            </w: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2453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7*$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$2+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7*$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$2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</w:tr>
      <w:tr w:rsidR="003423C8" w:rsidRPr="00840F45" w:rsidTr="000D0018">
        <w:trPr>
          <w:cantSplit/>
          <w:jc w:val="center"/>
        </w:trPr>
        <w:tc>
          <w:tcPr>
            <w:tcW w:w="481" w:type="dxa"/>
            <w:shd w:val="pct5" w:color="000000" w:fill="FFFFFF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3423C8" w:rsidRPr="00840F45" w:rsidRDefault="003423C8" w:rsidP="005C0A9C">
            <w:pPr>
              <w:spacing w:before="60" w:after="60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=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8*$</w:t>
            </w:r>
            <w:r w:rsidRPr="00840F45">
              <w:rPr>
                <w:sz w:val="24"/>
                <w:szCs w:val="24"/>
                <w:lang w:val="en-US"/>
              </w:rPr>
              <w:t>C</w:t>
            </w:r>
            <w:r w:rsidRPr="00840F45">
              <w:rPr>
                <w:sz w:val="24"/>
                <w:szCs w:val="24"/>
              </w:rPr>
              <w:t>$2+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8*$</w:t>
            </w:r>
            <w:r w:rsidRPr="00840F45">
              <w:rPr>
                <w:sz w:val="24"/>
                <w:szCs w:val="24"/>
                <w:lang w:val="en-US"/>
              </w:rPr>
              <w:t>D</w:t>
            </w:r>
            <w:r w:rsidRPr="00840F45">
              <w:rPr>
                <w:sz w:val="24"/>
                <w:szCs w:val="24"/>
              </w:rPr>
              <w:t>$2</w:t>
            </w:r>
          </w:p>
        </w:tc>
        <w:tc>
          <w:tcPr>
            <w:tcW w:w="113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&gt;=</w:t>
            </w:r>
          </w:p>
        </w:tc>
        <w:tc>
          <w:tcPr>
            <w:tcW w:w="1374" w:type="dxa"/>
            <w:vAlign w:val="center"/>
          </w:tcPr>
          <w:p w:rsidR="003423C8" w:rsidRPr="00840F45" w:rsidRDefault="003423C8" w:rsidP="005C0A9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0F45">
              <w:rPr>
                <w:sz w:val="24"/>
                <w:szCs w:val="24"/>
              </w:rPr>
              <w:t>0</w:t>
            </w:r>
          </w:p>
        </w:tc>
      </w:tr>
    </w:tbl>
    <w:p w:rsidR="003423C8" w:rsidRPr="00840F45" w:rsidRDefault="003423C8" w:rsidP="005C0A9C">
      <w:pPr>
        <w:pStyle w:val="a3"/>
        <w:spacing w:before="120"/>
        <w:ind w:left="907" w:hanging="907"/>
        <w:jc w:val="left"/>
        <w:rPr>
          <w:b w:val="0"/>
          <w:sz w:val="24"/>
          <w:szCs w:val="24"/>
        </w:rPr>
      </w:pPr>
      <w:r w:rsidRPr="00840F45">
        <w:rPr>
          <w:b w:val="0"/>
          <w:sz w:val="24"/>
          <w:szCs w:val="24"/>
        </w:rPr>
        <w:t>Здесь: С2:</w:t>
      </w:r>
      <w:r w:rsidRPr="00840F45">
        <w:rPr>
          <w:b w:val="0"/>
          <w:sz w:val="24"/>
          <w:szCs w:val="24"/>
          <w:lang w:val="en-US"/>
        </w:rPr>
        <w:t>D</w:t>
      </w:r>
      <w:r w:rsidRPr="00840F45">
        <w:rPr>
          <w:b w:val="0"/>
          <w:sz w:val="24"/>
          <w:szCs w:val="24"/>
        </w:rPr>
        <w:t>2 – результат (оптимальное количество сыра и брынзы);</w:t>
      </w:r>
      <w:r w:rsidRPr="00840F45">
        <w:rPr>
          <w:b w:val="0"/>
          <w:sz w:val="24"/>
          <w:szCs w:val="24"/>
        </w:rPr>
        <w:br/>
      </w:r>
      <w:r w:rsidRPr="00840F45">
        <w:rPr>
          <w:b w:val="0"/>
          <w:sz w:val="24"/>
          <w:szCs w:val="24"/>
          <w:lang w:val="en-US"/>
        </w:rPr>
        <w:t>C</w:t>
      </w:r>
      <w:r w:rsidRPr="00840F45">
        <w:rPr>
          <w:b w:val="0"/>
          <w:sz w:val="24"/>
          <w:szCs w:val="24"/>
        </w:rPr>
        <w:t>3:</w:t>
      </w:r>
      <w:r w:rsidRPr="00840F45">
        <w:rPr>
          <w:b w:val="0"/>
          <w:sz w:val="24"/>
          <w:szCs w:val="24"/>
          <w:lang w:val="en-US"/>
        </w:rPr>
        <w:t>D</w:t>
      </w:r>
      <w:r w:rsidRPr="00840F45">
        <w:rPr>
          <w:b w:val="0"/>
          <w:sz w:val="24"/>
          <w:szCs w:val="24"/>
        </w:rPr>
        <w:t>3 – коэффициенты целевой функции;</w:t>
      </w:r>
      <w:r w:rsidRPr="00840F45">
        <w:rPr>
          <w:b w:val="0"/>
          <w:sz w:val="24"/>
          <w:szCs w:val="24"/>
        </w:rPr>
        <w:br/>
        <w:t>Е3 – значение целевой функции;</w:t>
      </w:r>
      <w:r w:rsidRPr="00840F45">
        <w:rPr>
          <w:b w:val="0"/>
          <w:sz w:val="24"/>
          <w:szCs w:val="24"/>
        </w:rPr>
        <w:br/>
        <w:t>С4:D6 – коэффициенты ограничений;</w:t>
      </w:r>
      <w:r w:rsidRPr="00840F45">
        <w:rPr>
          <w:b w:val="0"/>
          <w:sz w:val="24"/>
          <w:szCs w:val="24"/>
        </w:rPr>
        <w:br/>
      </w:r>
      <w:r w:rsidRPr="00840F45">
        <w:rPr>
          <w:b w:val="0"/>
          <w:sz w:val="24"/>
          <w:szCs w:val="24"/>
          <w:lang w:val="en-US"/>
        </w:rPr>
        <w:t>G</w:t>
      </w:r>
      <w:r w:rsidRPr="00840F45">
        <w:rPr>
          <w:b w:val="0"/>
          <w:sz w:val="24"/>
          <w:szCs w:val="24"/>
        </w:rPr>
        <w:t>4:</w:t>
      </w:r>
      <w:r w:rsidRPr="00840F45">
        <w:rPr>
          <w:b w:val="0"/>
          <w:sz w:val="24"/>
          <w:szCs w:val="24"/>
          <w:lang w:val="en-US"/>
        </w:rPr>
        <w:t>G</w:t>
      </w:r>
      <w:r w:rsidRPr="00840F45">
        <w:rPr>
          <w:b w:val="0"/>
          <w:sz w:val="24"/>
          <w:szCs w:val="24"/>
        </w:rPr>
        <w:t>6 – правая часть ограничений;</w:t>
      </w:r>
      <w:r w:rsidRPr="00840F45">
        <w:rPr>
          <w:b w:val="0"/>
          <w:sz w:val="24"/>
          <w:szCs w:val="24"/>
        </w:rPr>
        <w:br/>
      </w:r>
      <w:r w:rsidRPr="00840F45">
        <w:rPr>
          <w:b w:val="0"/>
          <w:sz w:val="24"/>
          <w:szCs w:val="24"/>
          <w:lang w:val="en-US"/>
        </w:rPr>
        <w:t>E</w:t>
      </w:r>
      <w:r w:rsidRPr="00840F45">
        <w:rPr>
          <w:b w:val="0"/>
          <w:sz w:val="24"/>
          <w:szCs w:val="24"/>
        </w:rPr>
        <w:t>4:</w:t>
      </w:r>
      <w:r w:rsidRPr="00840F45">
        <w:rPr>
          <w:b w:val="0"/>
          <w:sz w:val="24"/>
          <w:szCs w:val="24"/>
          <w:lang w:val="en-US"/>
        </w:rPr>
        <w:t>E</w:t>
      </w:r>
      <w:r w:rsidRPr="00840F45">
        <w:rPr>
          <w:b w:val="0"/>
          <w:sz w:val="24"/>
          <w:szCs w:val="24"/>
        </w:rPr>
        <w:t>6 – вычисляемые (фактические) значения левой части ограничений.</w:t>
      </w:r>
    </w:p>
    <w:p w:rsidR="00351DF8" w:rsidRDefault="003423C8" w:rsidP="005C0A9C">
      <w:pPr>
        <w:ind w:firstLine="720"/>
        <w:jc w:val="both"/>
        <w:rPr>
          <w:sz w:val="24"/>
          <w:szCs w:val="24"/>
        </w:rPr>
      </w:pPr>
      <w:r w:rsidRPr="00840F45">
        <w:rPr>
          <w:sz w:val="24"/>
          <w:szCs w:val="24"/>
        </w:rPr>
        <w:t xml:space="preserve">Решим задачу с помощью команды Поиск решения. </w:t>
      </w:r>
    </w:p>
    <w:p w:rsidR="003423C8" w:rsidRPr="00840F45" w:rsidRDefault="003423C8" w:rsidP="005C0A9C">
      <w:pPr>
        <w:ind w:firstLine="720"/>
        <w:jc w:val="both"/>
        <w:rPr>
          <w:sz w:val="24"/>
          <w:szCs w:val="24"/>
        </w:rPr>
      </w:pPr>
      <w:r w:rsidRPr="00840F45">
        <w:rPr>
          <w:sz w:val="24"/>
          <w:szCs w:val="24"/>
        </w:rPr>
        <w:t>Итак, делаем активной ячейку Е3. Выполняем команду Сервис / Поиск решения. На экране появляется диалоговое окно Поиск решения.</w:t>
      </w:r>
    </w:p>
    <w:p w:rsidR="00351DF8" w:rsidRDefault="003423C8" w:rsidP="005C0A9C">
      <w:pPr>
        <w:spacing w:before="120"/>
        <w:ind w:firstLine="720"/>
        <w:jc w:val="both"/>
        <w:rPr>
          <w:sz w:val="24"/>
          <w:szCs w:val="24"/>
        </w:rPr>
      </w:pPr>
      <w:r w:rsidRPr="00840F45">
        <w:rPr>
          <w:sz w:val="24"/>
          <w:szCs w:val="24"/>
        </w:rPr>
        <w:t xml:space="preserve">В поле Установить целевую будет показана ссылка на активную ячейку, то есть на Е3. Причём эта ссылка абсолютная (мы видим $E$3). В секции Равной: устанавливаем переключатель максимальному значению. Можно задать не только максимальное/минимальное значения, но и любую произвольную величину, введя её в специальное поле значению в секции Равной:. </w:t>
      </w:r>
    </w:p>
    <w:p w:rsidR="005C0A9C" w:rsidRDefault="005C0A9C" w:rsidP="005C0A9C">
      <w:pPr>
        <w:ind w:firstLine="720"/>
        <w:jc w:val="both"/>
        <w:rPr>
          <w:sz w:val="24"/>
          <w:szCs w:val="24"/>
        </w:rPr>
      </w:pPr>
    </w:p>
    <w:p w:rsidR="005C0A9C" w:rsidRDefault="005C0A9C" w:rsidP="005C0A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.5pt;margin-top:9.2pt;width:340pt;height:191.9pt;z-index:251661312" o:allowincell="f">
            <v:imagedata r:id="rId7" o:title=""/>
            <w10:wrap type="topAndBottom"/>
          </v:shape>
          <o:OLEObject Type="Embed" ProgID="PBrush" ShapeID="_x0000_s1027" DrawAspect="Content" ObjectID="_1428822732" r:id="rId8"/>
        </w:pict>
      </w:r>
    </w:p>
    <w:p w:rsidR="003423C8" w:rsidRDefault="003423C8" w:rsidP="005C0A9C">
      <w:pPr>
        <w:ind w:firstLine="720"/>
        <w:jc w:val="both"/>
        <w:rPr>
          <w:sz w:val="24"/>
          <w:szCs w:val="24"/>
        </w:rPr>
      </w:pPr>
      <w:r w:rsidRPr="00840F45">
        <w:rPr>
          <w:sz w:val="24"/>
          <w:szCs w:val="24"/>
        </w:rPr>
        <w:t>Ограничения устанавливаются с помощью кнопки Добавить, которая вызывает диалоговое окно их ввода Добавление ограничения.</w:t>
      </w:r>
    </w:p>
    <w:p w:rsidR="003423C8" w:rsidRPr="00840F45" w:rsidRDefault="003423C8" w:rsidP="005C0A9C">
      <w:pPr>
        <w:pStyle w:val="ab"/>
        <w:spacing w:before="120"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>В поле ввода Ссылка на ячейку: указывается адрес ячейки, содержащей формулу левой части ограничения. Затем выбирается из списка знак соотношения. В поле Ограничение: указывается адрес ячейки, содержащей правую часть ограничения. Щёлкаем на кнопку Добавить и повторяем для следующего ограничения.</w:t>
      </w:r>
    </w:p>
    <w:p w:rsidR="005C0A9C" w:rsidRDefault="005C0A9C" w:rsidP="005C0A9C">
      <w:pPr>
        <w:pStyle w:val="ab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2" type="#_x0000_t75" style="position:absolute;left:0;text-align:left;margin-left:29.7pt;margin-top:.05pt;width:317.95pt;height:95.75pt;z-index:251667456" o:allowincell="f">
            <v:imagedata r:id="rId9" o:title=""/>
            <w10:wrap type="topAndBottom"/>
          </v:shape>
          <o:OLEObject Type="Embed" ProgID="PBrush" ShapeID="_x0000_s1032" DrawAspect="Content" ObjectID="_1428822733" r:id="rId10"/>
        </w:pic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>После ввода всех ограничений следует щёлкнуть кнопку ОК.</w: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>После этого произойдёт переключение в окно Поиск решения, в котором необходимо щёлкнуть кнопку Выполнить для решения поставленной задачи.</w: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  <w:lang w:val="en-US"/>
        </w:rPr>
        <w:t>Excel</w:t>
      </w:r>
      <w:r w:rsidRPr="00840F45">
        <w:rPr>
          <w:sz w:val="24"/>
          <w:szCs w:val="24"/>
        </w:rPr>
        <w:t xml:space="preserve"> предъявит окно Результаты поиска решения с сообщением о том, что решение найдено, или о том, что не может найти подходящего решения.</w: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 xml:space="preserve">Если вычисления оказались успешными, </w:t>
      </w:r>
      <w:r w:rsidRPr="00840F45">
        <w:rPr>
          <w:sz w:val="24"/>
          <w:szCs w:val="24"/>
          <w:lang w:val="en-US"/>
        </w:rPr>
        <w:t>Excel</w:t>
      </w:r>
      <w:r w:rsidRPr="00840F45">
        <w:rPr>
          <w:sz w:val="24"/>
          <w:szCs w:val="24"/>
        </w:rPr>
        <w:t xml:space="preserve"> предъявит следующее окно итогов. Их можно сохранить или отказаться (Восстановить исходные значения). Кроме того, можно получить один из трёх видов отчётов (Результаты, Устойчивость, Пределы), позволяющие лучше осознать полученные результаты, в том числе, оценить их достоверность.</w:t>
      </w:r>
    </w:p>
    <w:p w:rsidR="003423C8" w:rsidRPr="00840F45" w:rsidRDefault="004E17FF" w:rsidP="005C0A9C">
      <w:pPr>
        <w:pStyle w:val="ab"/>
        <w:spacing w:line="240" w:lineRule="auto"/>
        <w:rPr>
          <w:sz w:val="24"/>
          <w:szCs w:val="24"/>
        </w:rPr>
      </w:pPr>
      <w:r w:rsidRPr="004E17FF">
        <w:rPr>
          <w:sz w:val="24"/>
          <w:szCs w:val="24"/>
          <w:lang w:val="en-US"/>
        </w:rPr>
        <w:pict>
          <v:shape id="_x0000_s1029" type="#_x0000_t75" style="position:absolute;left:0;text-align:left;margin-left:29.7pt;margin-top:22.5pt;width:336.75pt;height:129.65pt;z-index:251663360" o:allowincell="f">
            <v:imagedata r:id="rId11" o:title=""/>
            <w10:wrap type="topAndBottom"/>
          </v:shape>
          <o:OLEObject Type="Embed" ProgID="PBrush" ShapeID="_x0000_s1029" DrawAspect="Content" ObjectID="_1428822734" r:id="rId12"/>
        </w:pic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</w:p>
    <w:p w:rsidR="003423C8" w:rsidRPr="00840F45" w:rsidRDefault="003423C8" w:rsidP="005C0A9C">
      <w:pPr>
        <w:pStyle w:val="ab"/>
        <w:spacing w:before="120" w:after="120"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 xml:space="preserve">Так как решение найдено, то нам остаётся согласиться с предложенным действием Сохранить найденное решение, то есть щёлкнуть на кнопку ОК или нажать на клавиатуре </w:t>
      </w:r>
      <w:r w:rsidRPr="00840F45">
        <w:rPr>
          <w:sz w:val="24"/>
          <w:szCs w:val="24"/>
          <w:lang w:val="en-US"/>
        </w:rPr>
        <w:t>Enter</w:t>
      </w:r>
      <w:r w:rsidRPr="00840F45">
        <w:rPr>
          <w:sz w:val="24"/>
          <w:szCs w:val="24"/>
        </w:rPr>
        <w:t>.</w: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>Результаты решения представлены в таблице:</w:t>
      </w:r>
    </w:p>
    <w:p w:rsidR="00351DF8" w:rsidRDefault="005C0A9C" w:rsidP="005C0A9C">
      <w:pPr>
        <w:pStyle w:val="ab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pict>
          <v:shape id="_x0000_s1030" type="#_x0000_t75" style="position:absolute;left:0;text-align:left;margin-left:20.8pt;margin-top:2.45pt;width:369.35pt;height:182.7pt;z-index:251664384" o:allowincell="f">
            <v:imagedata r:id="rId13" o:title=""/>
            <w10:wrap type="topAndBottom"/>
          </v:shape>
          <o:OLEObject Type="Embed" ProgID="PBrush" ShapeID="_x0000_s1030" DrawAspect="Content" ObjectID="_1428822735" r:id="rId14"/>
        </w:pict>
      </w:r>
    </w:p>
    <w:p w:rsidR="005C0A9C" w:rsidRDefault="005C0A9C" w:rsidP="005C0A9C">
      <w:pPr>
        <w:pStyle w:val="ab"/>
        <w:spacing w:line="240" w:lineRule="auto"/>
        <w:rPr>
          <w:sz w:val="24"/>
          <w:szCs w:val="24"/>
          <w:u w:val="single"/>
        </w:rPr>
      </w:pP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  <w:u w:val="single"/>
        </w:rPr>
        <w:t>Выводы:</w:t>
      </w:r>
      <w:r w:rsidRPr="00840F45">
        <w:rPr>
          <w:sz w:val="24"/>
          <w:szCs w:val="24"/>
        </w:rPr>
        <w:t xml:space="preserve"> Оптимальный план выпуска сыра при заданных ограничениях составит 4 единицы, брынзу выпускать не выгодно (х</w:t>
      </w:r>
      <w:r w:rsidRPr="00840F45">
        <w:rPr>
          <w:sz w:val="24"/>
          <w:szCs w:val="24"/>
          <w:vertAlign w:val="subscript"/>
        </w:rPr>
        <w:t>1</w:t>
      </w:r>
      <w:r w:rsidRPr="00840F45">
        <w:rPr>
          <w:sz w:val="24"/>
          <w:szCs w:val="24"/>
        </w:rPr>
        <w:t xml:space="preserve"> = 4; х</w:t>
      </w:r>
      <w:r w:rsidRPr="00840F45">
        <w:rPr>
          <w:sz w:val="24"/>
          <w:szCs w:val="24"/>
          <w:vertAlign w:val="subscript"/>
        </w:rPr>
        <w:t>2</w:t>
      </w:r>
      <w:r w:rsidRPr="00840F45">
        <w:rPr>
          <w:sz w:val="24"/>
          <w:szCs w:val="24"/>
        </w:rPr>
        <w:t xml:space="preserve"> = 0). При этом максимальная прибыль от реализации этих продуктов составит 20,0 единиц. Трудовые ресурсы для производства использованы полностью. Остаток сырья составит 6 единиц. Для вывоза продукции потребуется 8 денежных единиц, что удовлетворяет условию аренды автомобиля.</w: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  <w:r w:rsidRPr="00840F45">
        <w:rPr>
          <w:sz w:val="24"/>
          <w:szCs w:val="24"/>
        </w:rPr>
        <w:t>Рассмотрим сохранение результатов с созданием отчётов. Рассмотрим, например, отчёт Результаты, который выбираем в поле Тип отчёта. После нажатия кнопки ОК создаётся дополнительный лист Отчёт по результатам.</w:t>
      </w:r>
    </w:p>
    <w:p w:rsidR="003423C8" w:rsidRPr="00840F45" w:rsidRDefault="005C0A9C" w:rsidP="005C0A9C">
      <w:pPr>
        <w:pStyle w:val="ab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31" type="#_x0000_t75" style="position:absolute;left:0;text-align:left;margin-left:24.95pt;margin-top:20.9pt;width:337.55pt;height:409.3pt;z-index:251666432" o:allowincell="f">
            <v:imagedata r:id="rId15" o:title=""/>
            <w10:wrap type="topAndBottom"/>
          </v:shape>
          <o:OLEObject Type="Embed" ProgID="PBrush" ShapeID="_x0000_s1031" DrawAspect="Content" ObjectID="_1428822736" r:id="rId16"/>
        </w:pict>
      </w: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</w:p>
    <w:p w:rsidR="003423C8" w:rsidRPr="00840F45" w:rsidRDefault="003423C8" w:rsidP="005C0A9C">
      <w:pPr>
        <w:pStyle w:val="ab"/>
        <w:spacing w:line="240" w:lineRule="auto"/>
        <w:rPr>
          <w:sz w:val="24"/>
          <w:szCs w:val="24"/>
        </w:rPr>
      </w:pPr>
    </w:p>
    <w:p w:rsidR="006E70C0" w:rsidRDefault="006E70C0" w:rsidP="005C0A9C">
      <w:pPr>
        <w:pStyle w:val="a9"/>
        <w:rPr>
          <w:sz w:val="24"/>
          <w:szCs w:val="24"/>
        </w:rPr>
      </w:pPr>
    </w:p>
    <w:p w:rsidR="006E70C0" w:rsidRPr="005C0A9C" w:rsidRDefault="006E70C0" w:rsidP="005C0A9C">
      <w:pPr>
        <w:pStyle w:val="a9"/>
        <w:spacing w:line="276" w:lineRule="auto"/>
        <w:rPr>
          <w:b/>
          <w:sz w:val="28"/>
          <w:szCs w:val="28"/>
        </w:rPr>
      </w:pPr>
      <w:r w:rsidRPr="005C0A9C">
        <w:rPr>
          <w:b/>
          <w:sz w:val="28"/>
          <w:szCs w:val="28"/>
        </w:rPr>
        <w:t>Выполнить самостоятельно!!!</w:t>
      </w:r>
    </w:p>
    <w:p w:rsidR="006E70C0" w:rsidRPr="005C0A9C" w:rsidRDefault="006E70C0" w:rsidP="005C0A9C">
      <w:pPr>
        <w:pStyle w:val="a9"/>
        <w:spacing w:line="276" w:lineRule="auto"/>
        <w:rPr>
          <w:sz w:val="28"/>
          <w:szCs w:val="28"/>
        </w:rPr>
      </w:pPr>
    </w:p>
    <w:p w:rsidR="003423C8" w:rsidRPr="005C0A9C" w:rsidRDefault="003423C8" w:rsidP="005C0A9C">
      <w:pPr>
        <w:pStyle w:val="a9"/>
        <w:spacing w:line="276" w:lineRule="auto"/>
        <w:rPr>
          <w:sz w:val="28"/>
          <w:szCs w:val="28"/>
        </w:rPr>
      </w:pPr>
      <w:r w:rsidRPr="005C0A9C">
        <w:rPr>
          <w:sz w:val="28"/>
          <w:szCs w:val="28"/>
        </w:rPr>
        <w:t>Для сохранения здоровья и работоспособности человек должен потреблять в сутки питательных веществ (В): В1 – не менее 4 единиц, В2 – не менее 6 единиц, В3 – не менее 9 единиц, В4 –не менее 6 единиц. Имеется два вида диетического питания: Д1 и Д2. Если питаться по диете Д1, то в 1 кг пищи содержится: В1 – 2 единицы, В2 – 6 единиц, В3 – 1 единица, В4 – 3 единицы. В 1 кг пищи по диете Д2 содержится: В1 – 1 единица, В2 – 3 единицы, В3 – 3 единицы, В4 – 2 единицы. 1 кг пищи диеты Д1 стоит 30 денежных единиц, 1 кг пищи диеты Д2 – 20. Требуется так организовать питание, чтобы стоимость его была наименьшей, а организм получал бы суточную норму питательных веществ, указанную выше.</w:t>
      </w:r>
    </w:p>
    <w:p w:rsidR="001C0A9B" w:rsidRPr="005C0A9C" w:rsidRDefault="001C0A9B" w:rsidP="005C0A9C">
      <w:pPr>
        <w:spacing w:line="276" w:lineRule="auto"/>
        <w:rPr>
          <w:sz w:val="28"/>
          <w:szCs w:val="28"/>
        </w:rPr>
      </w:pPr>
    </w:p>
    <w:sectPr w:rsidR="001C0A9B" w:rsidRPr="005C0A9C" w:rsidSect="00840F45">
      <w:footerReference w:type="default" r:id="rId17"/>
      <w:type w:val="continuous"/>
      <w:pgSz w:w="11907" w:h="16840" w:code="9"/>
      <w:pgMar w:top="426" w:right="425" w:bottom="284" w:left="567" w:header="720" w:footer="283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B1C" w:rsidRDefault="00D42B1C" w:rsidP="001661D7">
      <w:r>
        <w:separator/>
      </w:r>
    </w:p>
  </w:endnote>
  <w:endnote w:type="continuationSeparator" w:id="1">
    <w:p w:rsidR="00D42B1C" w:rsidRDefault="00D42B1C" w:rsidP="0016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235"/>
      <w:docPartObj>
        <w:docPartGallery w:val="Page Numbers (Bottom of Page)"/>
        <w:docPartUnique/>
      </w:docPartObj>
    </w:sdtPr>
    <w:sdtContent>
      <w:p w:rsidR="001661D7" w:rsidRDefault="004E17FF">
        <w:pPr>
          <w:pStyle w:val="ae"/>
          <w:jc w:val="right"/>
        </w:pPr>
        <w:fldSimple w:instr=" PAGE   \* MERGEFORMAT ">
          <w:r w:rsidR="005C0A9C">
            <w:rPr>
              <w:noProof/>
            </w:rPr>
            <w:t>4</w:t>
          </w:r>
        </w:fldSimple>
      </w:p>
    </w:sdtContent>
  </w:sdt>
  <w:p w:rsidR="001661D7" w:rsidRDefault="001661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B1C" w:rsidRDefault="00D42B1C" w:rsidP="001661D7">
      <w:r>
        <w:separator/>
      </w:r>
    </w:p>
  </w:footnote>
  <w:footnote w:type="continuationSeparator" w:id="1">
    <w:p w:rsidR="00D42B1C" w:rsidRDefault="00D42B1C" w:rsidP="00166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4531"/>
    <w:multiLevelType w:val="singleLevel"/>
    <w:tmpl w:val="AA60AB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A44127"/>
    <w:multiLevelType w:val="singleLevel"/>
    <w:tmpl w:val="AA60AB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3C8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018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661D7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23C8"/>
    <w:rsid w:val="00344821"/>
    <w:rsid w:val="003454C1"/>
    <w:rsid w:val="00350A29"/>
    <w:rsid w:val="00351747"/>
    <w:rsid w:val="00351DF8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A720E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17FF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A9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0C0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0F45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2B1C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0F9D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0084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8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Body Text Indent"/>
    <w:basedOn w:val="a"/>
    <w:link w:val="aa"/>
    <w:rsid w:val="003423C8"/>
    <w:pPr>
      <w:ind w:firstLine="720"/>
      <w:jc w:val="both"/>
    </w:pPr>
    <w:rPr>
      <w:sz w:val="32"/>
    </w:rPr>
  </w:style>
  <w:style w:type="character" w:customStyle="1" w:styleId="aa">
    <w:name w:val="Основной текст с отступом Знак"/>
    <w:basedOn w:val="a0"/>
    <w:link w:val="a9"/>
    <w:rsid w:val="003423C8"/>
    <w:rPr>
      <w:sz w:val="32"/>
    </w:rPr>
  </w:style>
  <w:style w:type="paragraph" w:customStyle="1" w:styleId="ab">
    <w:name w:val="Методички"/>
    <w:basedOn w:val="a"/>
    <w:rsid w:val="003423C8"/>
    <w:pPr>
      <w:spacing w:line="360" w:lineRule="auto"/>
      <w:ind w:firstLine="720"/>
      <w:jc w:val="both"/>
    </w:pPr>
    <w:rPr>
      <w:sz w:val="32"/>
    </w:rPr>
  </w:style>
  <w:style w:type="paragraph" w:styleId="ac">
    <w:name w:val="header"/>
    <w:basedOn w:val="a"/>
    <w:link w:val="ad"/>
    <w:uiPriority w:val="99"/>
    <w:semiHidden/>
    <w:unhideWhenUsed/>
    <w:rsid w:val="001661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661D7"/>
  </w:style>
  <w:style w:type="paragraph" w:styleId="ae">
    <w:name w:val="footer"/>
    <w:basedOn w:val="a"/>
    <w:link w:val="af"/>
    <w:uiPriority w:val="99"/>
    <w:unhideWhenUsed/>
    <w:rsid w:val="001661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6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859</Words>
  <Characters>4899</Characters>
  <Application>Microsoft Office Word</Application>
  <DocSecurity>0</DocSecurity>
  <Lines>40</Lines>
  <Paragraphs>11</Paragraphs>
  <ScaleCrop>false</ScaleCrop>
  <Company>Wolfish Lair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2013-04-30T02:58:00Z</dcterms:created>
  <dcterms:modified xsi:type="dcterms:W3CDTF">2013-04-30T03:25:00Z</dcterms:modified>
</cp:coreProperties>
</file>