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3B" w:rsidRPr="007B5A12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ind w:firstLine="0"/>
        <w:jc w:val="center"/>
        <w:rPr>
          <w:rStyle w:val="a7"/>
          <w:color w:val="000000" w:themeColor="text1"/>
          <w:szCs w:val="28"/>
        </w:rPr>
      </w:pPr>
      <w:r w:rsidRPr="002E7A69">
        <w:rPr>
          <w:rStyle w:val="a7"/>
          <w:color w:val="000000" w:themeColor="text1"/>
          <w:sz w:val="28"/>
          <w:szCs w:val="28"/>
        </w:rPr>
        <w:t>Резервуарные парки</w:t>
      </w:r>
      <w:r w:rsidRPr="007B5A12">
        <w:rPr>
          <w:color w:val="000000" w:themeColor="text1"/>
        </w:rPr>
        <w:t xml:space="preserve"> </w:t>
      </w:r>
      <w:r w:rsidRPr="007B5A12">
        <w:rPr>
          <w:b/>
          <w:color w:val="000000" w:themeColor="text1"/>
          <w:sz w:val="28"/>
          <w:szCs w:val="28"/>
        </w:rPr>
        <w:t>для хранения нефти и нефтепродуктов</w:t>
      </w:r>
    </w:p>
    <w:p w:rsidR="00590C3B" w:rsidRPr="002C7874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rStyle w:val="a7"/>
          <w:color w:val="000000" w:themeColor="text1"/>
        </w:rPr>
        <w:t>Резервуарные парки</w:t>
      </w:r>
      <w:r w:rsidRPr="002C7874">
        <w:rPr>
          <w:color w:val="000000" w:themeColor="text1"/>
        </w:rPr>
        <w:t> для хранения нефти и нефтепродуктов представляют собой сложные инженерно-технические сооружения и состоят из </w:t>
      </w:r>
      <w:r w:rsidRPr="002C7874">
        <w:rPr>
          <w:rStyle w:val="a7"/>
          <w:color w:val="000000" w:themeColor="text1"/>
        </w:rPr>
        <w:t>резервуаров</w:t>
      </w:r>
      <w:r w:rsidRPr="002C7874">
        <w:rPr>
          <w:color w:val="000000" w:themeColor="text1"/>
        </w:rPr>
        <w:t>, как правило, объединенных в группы, систем трубопроводов и других сооружений. Для сокращения потерь нефтепродуктов при их откачке и закачке группы </w:t>
      </w:r>
      <w:r w:rsidRPr="002C7874">
        <w:rPr>
          <w:rStyle w:val="a7"/>
          <w:color w:val="000000" w:themeColor="text1"/>
        </w:rPr>
        <w:t>резервуаров со стационарными крышами</w:t>
      </w:r>
      <w:r w:rsidRPr="002C7874">
        <w:rPr>
          <w:color w:val="000000" w:themeColor="text1"/>
        </w:rPr>
        <w:t xml:space="preserve"> могут оборудоваться </w:t>
      </w:r>
      <w:proofErr w:type="spellStart"/>
      <w:r w:rsidRPr="002C7874">
        <w:rPr>
          <w:color w:val="000000" w:themeColor="text1"/>
        </w:rPr>
        <w:t>газоуравнительными</w:t>
      </w:r>
      <w:proofErr w:type="spellEnd"/>
      <w:r w:rsidRPr="002C7874">
        <w:rPr>
          <w:color w:val="000000" w:themeColor="text1"/>
        </w:rPr>
        <w:t xml:space="preserve"> системами. </w:t>
      </w:r>
    </w:p>
    <w:p w:rsidR="00590C3B" w:rsidRPr="002C7874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color w:val="000000" w:themeColor="text1"/>
        </w:rPr>
        <w:t>Эти системы представляют собой сеть газопроводов, соединяющих через </w:t>
      </w:r>
      <w:proofErr w:type="spellStart"/>
      <w:r w:rsidRPr="002C7874">
        <w:rPr>
          <w:rStyle w:val="a7"/>
          <w:color w:val="000000" w:themeColor="text1"/>
        </w:rPr>
        <w:t>огнепреградители</w:t>
      </w:r>
      <w:proofErr w:type="spellEnd"/>
      <w:r w:rsidRPr="002C7874">
        <w:rPr>
          <w:color w:val="000000" w:themeColor="text1"/>
        </w:rPr>
        <w:t> паровоздушные пространства резервуаров между собой. В </w:t>
      </w:r>
      <w:proofErr w:type="spellStart"/>
      <w:r w:rsidRPr="002C7874">
        <w:rPr>
          <w:color w:val="000000" w:themeColor="text1"/>
        </w:rPr>
        <w:t>газоуравнительную</w:t>
      </w:r>
      <w:proofErr w:type="spellEnd"/>
      <w:r w:rsidRPr="002C7874">
        <w:rPr>
          <w:color w:val="000000" w:themeColor="text1"/>
        </w:rPr>
        <w:t xml:space="preserve"> систему входят также газгольдер, сборник конденсата, насос для перекачки конденсата и </w:t>
      </w:r>
      <w:proofErr w:type="spellStart"/>
      <w:r w:rsidRPr="002C7874">
        <w:rPr>
          <w:color w:val="000000" w:themeColor="text1"/>
        </w:rPr>
        <w:t>конденсатопровод</w:t>
      </w:r>
      <w:proofErr w:type="spellEnd"/>
      <w:r w:rsidRPr="002C7874">
        <w:rPr>
          <w:color w:val="000000" w:themeColor="text1"/>
        </w:rPr>
        <w:t xml:space="preserve">. Для отключения газового пространства отдельных резервуаров от общей сети имеются </w:t>
      </w:r>
      <w:proofErr w:type="spellStart"/>
      <w:r w:rsidRPr="002C7874">
        <w:rPr>
          <w:color w:val="000000" w:themeColor="text1"/>
        </w:rPr>
        <w:t>перекрывные</w:t>
      </w:r>
      <w:proofErr w:type="spellEnd"/>
      <w:r w:rsidRPr="002C7874">
        <w:rPr>
          <w:color w:val="000000" w:themeColor="text1"/>
        </w:rPr>
        <w:t xml:space="preserve"> вентили и задвижки на линиях газопроводов, отходящих от резервуаров.</w:t>
      </w:r>
    </w:p>
    <w:p w:rsidR="00590C3B" w:rsidRPr="002C7874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rStyle w:val="a7"/>
          <w:color w:val="000000" w:themeColor="text1"/>
        </w:rPr>
        <w:t>Резервуары</w:t>
      </w:r>
      <w:r w:rsidRPr="002C7874">
        <w:rPr>
          <w:color w:val="000000" w:themeColor="text1"/>
        </w:rPr>
        <w:t xml:space="preserve">, в которых возможно образование донных отложений (осадков), ведущее к уменьшению их полезного объема, оборудуются системами </w:t>
      </w:r>
      <w:proofErr w:type="spellStart"/>
      <w:r w:rsidRPr="002C7874">
        <w:rPr>
          <w:color w:val="000000" w:themeColor="text1"/>
        </w:rPr>
        <w:t>гидроразмыва</w:t>
      </w:r>
      <w:proofErr w:type="spellEnd"/>
      <w:r w:rsidRPr="002C7874">
        <w:rPr>
          <w:color w:val="000000" w:themeColor="text1"/>
        </w:rPr>
        <w:t xml:space="preserve">. Системы </w:t>
      </w:r>
      <w:proofErr w:type="spellStart"/>
      <w:r w:rsidRPr="002C7874">
        <w:rPr>
          <w:color w:val="000000" w:themeColor="text1"/>
        </w:rPr>
        <w:t>гидроразмыва</w:t>
      </w:r>
      <w:proofErr w:type="spellEnd"/>
      <w:r w:rsidRPr="002C7874">
        <w:rPr>
          <w:color w:val="000000" w:themeColor="text1"/>
        </w:rPr>
        <w:t xml:space="preserve"> донных отложений включают в себя: насосную установку для подачи воды в систему, </w:t>
      </w:r>
      <w:proofErr w:type="spellStart"/>
      <w:r w:rsidRPr="002C7874">
        <w:rPr>
          <w:color w:val="000000" w:themeColor="text1"/>
        </w:rPr>
        <w:t>зачистной</w:t>
      </w:r>
      <w:proofErr w:type="spellEnd"/>
      <w:r w:rsidRPr="002C7874">
        <w:rPr>
          <w:color w:val="000000" w:themeColor="text1"/>
        </w:rPr>
        <w:t xml:space="preserve"> трубопровод диаметром 150 – 300 мм к </w:t>
      </w:r>
      <w:proofErr w:type="spellStart"/>
      <w:r w:rsidRPr="002C7874">
        <w:rPr>
          <w:color w:val="000000" w:themeColor="text1"/>
        </w:rPr>
        <w:t>гидроэжекторной</w:t>
      </w:r>
      <w:proofErr w:type="spellEnd"/>
      <w:r w:rsidRPr="002C7874">
        <w:rPr>
          <w:color w:val="000000" w:themeColor="text1"/>
        </w:rPr>
        <w:t xml:space="preserve"> установке, </w:t>
      </w:r>
      <w:proofErr w:type="spellStart"/>
      <w:r w:rsidRPr="002C7874">
        <w:rPr>
          <w:color w:val="000000" w:themeColor="text1"/>
        </w:rPr>
        <w:t>гидроэжекторную</w:t>
      </w:r>
      <w:proofErr w:type="spellEnd"/>
      <w:r w:rsidRPr="002C7874">
        <w:rPr>
          <w:color w:val="000000" w:themeColor="text1"/>
        </w:rPr>
        <w:t xml:space="preserve"> установку, состоящую из эжектора, передвижной </w:t>
      </w:r>
      <w:proofErr w:type="spellStart"/>
      <w:r w:rsidRPr="002C7874">
        <w:rPr>
          <w:color w:val="000000" w:themeColor="text1"/>
        </w:rPr>
        <w:t>электропомпы</w:t>
      </w:r>
      <w:proofErr w:type="spellEnd"/>
      <w:r w:rsidRPr="002C7874">
        <w:rPr>
          <w:color w:val="000000" w:themeColor="text1"/>
        </w:rPr>
        <w:t xml:space="preserve"> и гидромониторов, трубопровод отвода </w:t>
      </w:r>
      <w:proofErr w:type="spellStart"/>
      <w:r w:rsidRPr="002C7874">
        <w:rPr>
          <w:color w:val="000000" w:themeColor="text1"/>
        </w:rPr>
        <w:t>парафиноводяной</w:t>
      </w:r>
      <w:proofErr w:type="spellEnd"/>
      <w:r w:rsidRPr="002C7874">
        <w:rPr>
          <w:color w:val="000000" w:themeColor="text1"/>
        </w:rPr>
        <w:t xml:space="preserve"> смеси.</w:t>
      </w:r>
    </w:p>
    <w:p w:rsidR="00590C3B" w:rsidRPr="002C7874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color w:val="000000" w:themeColor="text1"/>
        </w:rPr>
        <w:t>Склады нефти и нефтепродуктов в зависимости от вместимости резервуарных парков и вместимости отдельных резервуаров делятся на следующие категории (табл. 2).</w:t>
      </w:r>
    </w:p>
    <w:p w:rsidR="00590C3B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color w:val="000000" w:themeColor="text1"/>
        </w:rPr>
        <w:t>Единичный номинальный объем резервуаров, допустимая номинальная вместимость группы резервуаров и минимальное расстояние между резервуарами в одной группе представлены в (табл. 3).</w:t>
      </w:r>
    </w:p>
    <w:p w:rsidR="00590C3B" w:rsidRDefault="00590C3B" w:rsidP="00590C3B">
      <w:pPr>
        <w:pStyle w:val="ab"/>
        <w:shd w:val="clear" w:color="auto" w:fill="FFFFFF"/>
        <w:spacing w:before="0" w:beforeAutospacing="0" w:after="0" w:afterAutospacing="0"/>
        <w:ind w:left="284" w:firstLine="709"/>
        <w:rPr>
          <w:rStyle w:val="a7"/>
          <w:b w:val="0"/>
          <w:color w:val="000000" w:themeColor="text1"/>
        </w:rPr>
      </w:pPr>
    </w:p>
    <w:p w:rsidR="00590C3B" w:rsidRPr="002C7874" w:rsidRDefault="00590C3B" w:rsidP="00590C3B">
      <w:pPr>
        <w:pStyle w:val="ab"/>
        <w:shd w:val="clear" w:color="auto" w:fill="FFFFFF"/>
        <w:spacing w:before="0" w:beforeAutospacing="0" w:after="0" w:afterAutospacing="0"/>
        <w:ind w:left="284" w:firstLine="709"/>
        <w:rPr>
          <w:color w:val="000000" w:themeColor="text1"/>
        </w:rPr>
      </w:pPr>
      <w:r w:rsidRPr="00F511EB">
        <w:rPr>
          <w:rStyle w:val="a7"/>
          <w:color w:val="000000" w:themeColor="text1"/>
        </w:rPr>
        <w:t>Таблица 2.</w:t>
      </w:r>
      <w:r>
        <w:rPr>
          <w:rStyle w:val="a7"/>
          <w:color w:val="000000" w:themeColor="text1"/>
        </w:rPr>
        <w:t xml:space="preserve"> </w:t>
      </w:r>
      <w:r w:rsidRPr="002C7874">
        <w:rPr>
          <w:color w:val="000000" w:themeColor="text1"/>
        </w:rPr>
        <w:t xml:space="preserve"> Категории складов для хранения нефти и нефтепродуктов</w:t>
      </w:r>
    </w:p>
    <w:tbl>
      <w:tblPr>
        <w:tblpPr w:leftFromText="180" w:rightFromText="180" w:vertAnchor="text" w:horzAnchor="margin" w:tblpX="332" w:tblpY="4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7"/>
        <w:gridCol w:w="3715"/>
        <w:gridCol w:w="4172"/>
      </w:tblGrid>
      <w:tr w:rsidR="00590C3B" w:rsidRPr="002C7874" w:rsidTr="00A01227">
        <w:trPr>
          <w:trHeight w:val="458"/>
        </w:trPr>
        <w:tc>
          <w:tcPr>
            <w:tcW w:w="720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7874">
              <w:rPr>
                <w:b/>
                <w:bCs/>
                <w:color w:val="000000" w:themeColor="text1"/>
              </w:rPr>
              <w:t>Категория склада</w:t>
            </w:r>
          </w:p>
        </w:tc>
        <w:tc>
          <w:tcPr>
            <w:tcW w:w="2016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7874">
              <w:rPr>
                <w:b/>
                <w:bCs/>
                <w:color w:val="000000" w:themeColor="text1"/>
              </w:rPr>
              <w:t>Максимальный объем одного резервуара, </w:t>
            </w:r>
            <w:proofErr w:type="gramStart"/>
            <w:r w:rsidRPr="002C7874">
              <w:rPr>
                <w:b/>
                <w:bCs/>
                <w:color w:val="000000" w:themeColor="text1"/>
              </w:rPr>
              <w:t>м</w:t>
            </w:r>
            <w:proofErr w:type="gramEnd"/>
            <w:r w:rsidRPr="002C7874">
              <w:rPr>
                <w:b/>
                <w:bCs/>
                <w:color w:val="000000" w:themeColor="text1"/>
              </w:rPr>
              <w:t>³</w:t>
            </w:r>
          </w:p>
        </w:tc>
        <w:tc>
          <w:tcPr>
            <w:tcW w:w="2264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7874">
              <w:rPr>
                <w:b/>
                <w:bCs/>
                <w:color w:val="000000" w:themeColor="text1"/>
              </w:rPr>
              <w:t>Общая вместимость резервуарного парка, </w:t>
            </w:r>
            <w:proofErr w:type="gramStart"/>
            <w:r w:rsidRPr="002C7874">
              <w:rPr>
                <w:b/>
                <w:bCs/>
                <w:color w:val="000000" w:themeColor="text1"/>
              </w:rPr>
              <w:t>м</w:t>
            </w:r>
            <w:proofErr w:type="gramEnd"/>
            <w:r w:rsidRPr="002C7874">
              <w:rPr>
                <w:b/>
                <w:bCs/>
                <w:color w:val="000000" w:themeColor="text1"/>
              </w:rPr>
              <w:t>³</w:t>
            </w:r>
          </w:p>
        </w:tc>
      </w:tr>
      <w:tr w:rsidR="00590C3B" w:rsidRPr="002C7874" w:rsidTr="00A01227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I</w:t>
            </w:r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–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100000</w:t>
            </w:r>
          </w:p>
        </w:tc>
      </w:tr>
      <w:tr w:rsidR="00590C3B" w:rsidRPr="002C7874" w:rsidTr="00A01227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II</w:t>
            </w:r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–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20000 до 100000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  <w:tr w:rsidR="00590C3B" w:rsidRPr="002C7874" w:rsidTr="00A01227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2C7874">
              <w:rPr>
                <w:color w:val="000000" w:themeColor="text1"/>
              </w:rPr>
              <w:t>IIIa</w:t>
            </w:r>
            <w:proofErr w:type="spellEnd"/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5000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10000 до 20000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  <w:tr w:rsidR="00590C3B" w:rsidRPr="002C7874" w:rsidTr="00A01227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2C7874">
              <w:rPr>
                <w:color w:val="000000" w:themeColor="text1"/>
              </w:rPr>
              <w:t>III</w:t>
            </w:r>
            <w:proofErr w:type="gramStart"/>
            <w:r w:rsidRPr="002C7874">
              <w:rPr>
                <w:color w:val="000000" w:themeColor="text1"/>
              </w:rPr>
              <w:t>б</w:t>
            </w:r>
            <w:proofErr w:type="spellEnd"/>
            <w:proofErr w:type="gramEnd"/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2000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2000 до 10000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  <w:tr w:rsidR="00590C3B" w:rsidRPr="002C7874" w:rsidTr="00A01227">
        <w:trPr>
          <w:trHeight w:val="22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spacing w:after="240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2C7874">
              <w:rPr>
                <w:color w:val="000000" w:themeColor="text1"/>
              </w:rPr>
              <w:t>III</w:t>
            </w:r>
            <w:proofErr w:type="gramStart"/>
            <w:r w:rsidRPr="002C7874">
              <w:rPr>
                <w:color w:val="000000" w:themeColor="text1"/>
              </w:rPr>
              <w:t>в</w:t>
            </w:r>
            <w:proofErr w:type="spellEnd"/>
            <w:proofErr w:type="gramEnd"/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spacing w:after="240"/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750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spacing w:after="240"/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2000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</w:tbl>
    <w:p w:rsidR="00590C3B" w:rsidRDefault="00590C3B" w:rsidP="00590C3B">
      <w:pPr>
        <w:pStyle w:val="ab"/>
        <w:shd w:val="clear" w:color="auto" w:fill="FFFFFF"/>
        <w:spacing w:before="0" w:beforeAutospacing="0" w:after="240" w:afterAutospacing="0"/>
        <w:ind w:left="284"/>
        <w:rPr>
          <w:rStyle w:val="a7"/>
          <w:color w:val="000000" w:themeColor="text1"/>
        </w:rPr>
      </w:pPr>
      <w:r w:rsidRPr="002C7874">
        <w:rPr>
          <w:color w:val="000000" w:themeColor="text1"/>
        </w:rPr>
        <w:br/>
      </w:r>
    </w:p>
    <w:p w:rsidR="00590C3B" w:rsidRDefault="00590C3B" w:rsidP="00590C3B">
      <w:pPr>
        <w:pStyle w:val="ab"/>
        <w:shd w:val="clear" w:color="auto" w:fill="FFFFFF"/>
        <w:spacing w:before="0" w:beforeAutospacing="0" w:after="240" w:afterAutospacing="0"/>
        <w:ind w:left="284"/>
        <w:rPr>
          <w:rStyle w:val="a7"/>
          <w:color w:val="000000" w:themeColor="text1"/>
        </w:rPr>
      </w:pPr>
    </w:p>
    <w:p w:rsidR="00590C3B" w:rsidRDefault="00590C3B" w:rsidP="00590C3B">
      <w:pPr>
        <w:pStyle w:val="ab"/>
        <w:shd w:val="clear" w:color="auto" w:fill="FFFFFF"/>
        <w:spacing w:before="0" w:beforeAutospacing="0" w:after="240" w:afterAutospacing="0"/>
        <w:ind w:left="284"/>
        <w:rPr>
          <w:rStyle w:val="a7"/>
          <w:color w:val="000000" w:themeColor="text1"/>
        </w:rPr>
      </w:pPr>
      <w:r w:rsidRPr="00F511EB">
        <w:rPr>
          <w:rStyle w:val="a7"/>
          <w:color w:val="000000" w:themeColor="text1"/>
        </w:rPr>
        <w:lastRenderedPageBreak/>
        <w:t>Таблица 3.</w:t>
      </w:r>
      <w:r>
        <w:rPr>
          <w:rStyle w:val="a7"/>
          <w:color w:val="000000" w:themeColor="text1"/>
        </w:rPr>
        <w:t xml:space="preserve"> </w:t>
      </w:r>
      <w:r w:rsidRPr="002C7874">
        <w:rPr>
          <w:color w:val="000000" w:themeColor="text1"/>
        </w:rPr>
        <w:t xml:space="preserve"> Основные характеристики групп резервуаров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5"/>
        <w:gridCol w:w="2125"/>
        <w:gridCol w:w="2268"/>
        <w:gridCol w:w="1566"/>
        <w:gridCol w:w="1832"/>
      </w:tblGrid>
      <w:tr w:rsidR="00590C3B" w:rsidRPr="002C7874" w:rsidTr="00A01227">
        <w:tc>
          <w:tcPr>
            <w:tcW w:w="1035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Резервуары</w:t>
            </w:r>
          </w:p>
        </w:tc>
        <w:tc>
          <w:tcPr>
            <w:tcW w:w="1081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Единичный номинальный объем резервуаров, устанавливаемых в группе, </w:t>
            </w:r>
            <w:proofErr w:type="gramStart"/>
            <w:r w:rsidRPr="002C7874">
              <w:rPr>
                <w:b/>
                <w:bCs/>
              </w:rPr>
              <w:t>м</w:t>
            </w:r>
            <w:proofErr w:type="gramEnd"/>
            <w:r w:rsidRPr="002C7874">
              <w:rPr>
                <w:b/>
                <w:bCs/>
              </w:rPr>
              <w:t>³</w:t>
            </w:r>
          </w:p>
        </w:tc>
        <w:tc>
          <w:tcPr>
            <w:tcW w:w="1154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Вид хранимых нефти и нефтепродуктов</w:t>
            </w:r>
          </w:p>
        </w:tc>
        <w:tc>
          <w:tcPr>
            <w:tcW w:w="797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Допустимая общая номинальная вместимость группы, </w:t>
            </w:r>
            <w:proofErr w:type="gramStart"/>
            <w:r w:rsidRPr="002C7874">
              <w:rPr>
                <w:b/>
                <w:bCs/>
              </w:rPr>
              <w:t>м</w:t>
            </w:r>
            <w:proofErr w:type="gramEnd"/>
            <w:r w:rsidRPr="002C7874">
              <w:rPr>
                <w:b/>
                <w:bCs/>
              </w:rPr>
              <w:t>³</w:t>
            </w:r>
          </w:p>
        </w:tc>
        <w:tc>
          <w:tcPr>
            <w:tcW w:w="932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Минимальное расстояние между резервуарами, расположенными в одной группе</w:t>
            </w:r>
          </w:p>
        </w:tc>
      </w:tr>
      <w:tr w:rsidR="00590C3B" w:rsidRPr="002C7874" w:rsidTr="00A01227">
        <w:tc>
          <w:tcPr>
            <w:tcW w:w="1035" w:type="pct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 плавающей крышей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 и более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200000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30 м</w:t>
            </w:r>
          </w:p>
        </w:tc>
      </w:tr>
      <w:tr w:rsidR="00590C3B" w:rsidRPr="002C7874" w:rsidTr="00A01227">
        <w:tc>
          <w:tcPr>
            <w:tcW w:w="1035" w:type="pct"/>
            <w:vMerge/>
            <w:shd w:val="clear" w:color="auto" w:fill="FFFFFF"/>
            <w:vAlign w:val="center"/>
            <w:hideMark/>
          </w:tcPr>
          <w:p w:rsidR="00590C3B" w:rsidRPr="002C7874" w:rsidRDefault="00590C3B" w:rsidP="00A0122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Менее 50000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120000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0,5D,  но не более 30 м</w:t>
            </w:r>
          </w:p>
        </w:tc>
      </w:tr>
      <w:tr w:rsidR="00590C3B" w:rsidRPr="002C7874" w:rsidTr="00A01227">
        <w:tc>
          <w:tcPr>
            <w:tcW w:w="1035" w:type="pct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 понтоном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200000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30 м</w:t>
            </w:r>
          </w:p>
        </w:tc>
      </w:tr>
      <w:tr w:rsidR="00590C3B" w:rsidRPr="002C7874" w:rsidTr="00A01227">
        <w:trPr>
          <w:trHeight w:val="701"/>
        </w:trPr>
        <w:tc>
          <w:tcPr>
            <w:tcW w:w="1035" w:type="pct"/>
            <w:vMerge/>
            <w:shd w:val="clear" w:color="auto" w:fill="FFFFFF"/>
            <w:vAlign w:val="center"/>
            <w:hideMark/>
          </w:tcPr>
          <w:p w:rsidR="00590C3B" w:rsidRPr="002C7874" w:rsidRDefault="00590C3B" w:rsidP="00A0122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Менее 50000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120000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0,65D, но не более 30 м</w:t>
            </w:r>
          </w:p>
        </w:tc>
      </w:tr>
      <w:tr w:rsidR="00590C3B" w:rsidRPr="002C7874" w:rsidTr="00A01227">
        <w:tc>
          <w:tcPr>
            <w:tcW w:w="103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Со стационарной крышей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 и менее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Нефть и нефтепродукты с температурой вспышки выше 45</w:t>
            </w:r>
            <w:proofErr w:type="gramStart"/>
            <w:r w:rsidRPr="002C7874">
              <w:rPr>
                <w:color w:val="000000" w:themeColor="text1"/>
              </w:rPr>
              <w:t>°С</w:t>
            </w:r>
            <w:proofErr w:type="gramEnd"/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120000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0,75D, но не более 30 м</w:t>
            </w:r>
          </w:p>
        </w:tc>
      </w:tr>
      <w:tr w:rsidR="00590C3B" w:rsidRPr="002C7874" w:rsidTr="00A01227">
        <w:tc>
          <w:tcPr>
            <w:tcW w:w="103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Со стационарной крышей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 и менее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Нефть и нефтепродукты с температурой вспышки 45</w:t>
            </w:r>
            <w:proofErr w:type="gramStart"/>
            <w:r w:rsidRPr="002C7874">
              <w:rPr>
                <w:color w:val="000000" w:themeColor="text1"/>
              </w:rPr>
              <w:t>°С</w:t>
            </w:r>
            <w:proofErr w:type="gramEnd"/>
            <w:r w:rsidRPr="002C7874">
              <w:rPr>
                <w:color w:val="000000" w:themeColor="text1"/>
              </w:rPr>
              <w:t> и ниже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80000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0C3B" w:rsidRPr="002C7874" w:rsidRDefault="00590C3B" w:rsidP="00A01227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0,75D, но не более 30 м</w:t>
            </w:r>
          </w:p>
        </w:tc>
      </w:tr>
    </w:tbl>
    <w:p w:rsidR="00590C3B" w:rsidRPr="002C7874" w:rsidRDefault="00590C3B" w:rsidP="00590C3B">
      <w:pPr>
        <w:pStyle w:val="ab"/>
        <w:shd w:val="clear" w:color="auto" w:fill="FFFFFF"/>
        <w:spacing w:before="0" w:beforeAutospacing="0" w:after="0" w:afterAutospacing="0"/>
        <w:ind w:left="284"/>
        <w:rPr>
          <w:color w:val="000000" w:themeColor="text1"/>
        </w:rPr>
      </w:pPr>
    </w:p>
    <w:p w:rsidR="00590C3B" w:rsidRPr="002C7874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rPr>
          <w:color w:val="000000" w:themeColor="text1"/>
        </w:rPr>
      </w:pPr>
      <w:r w:rsidRPr="002C7874">
        <w:rPr>
          <w:color w:val="000000" w:themeColor="text1"/>
        </w:rPr>
        <w:t>По назначению резервуарные парки могут быть подразделены на следующие виды:</w:t>
      </w:r>
    </w:p>
    <w:p w:rsidR="00590C3B" w:rsidRPr="002C7874" w:rsidRDefault="00590C3B" w:rsidP="00590C3B">
      <w:pPr>
        <w:numPr>
          <w:ilvl w:val="0"/>
          <w:numId w:val="1"/>
        </w:numPr>
        <w:shd w:val="clear" w:color="auto" w:fill="FFFFFF"/>
        <w:spacing w:line="276" w:lineRule="auto"/>
        <w:ind w:left="284"/>
        <w:rPr>
          <w:color w:val="000000" w:themeColor="text1"/>
        </w:rPr>
      </w:pPr>
      <w:r w:rsidRPr="002C7874">
        <w:rPr>
          <w:color w:val="000000" w:themeColor="text1"/>
        </w:rPr>
        <w:t>товарно-сырьевые базы для хранения нефти и нефтепродуктов;</w:t>
      </w:r>
    </w:p>
    <w:p w:rsidR="00590C3B" w:rsidRPr="002C7874" w:rsidRDefault="00590C3B" w:rsidP="00590C3B">
      <w:pPr>
        <w:numPr>
          <w:ilvl w:val="0"/>
          <w:numId w:val="1"/>
        </w:numPr>
        <w:shd w:val="clear" w:color="auto" w:fill="FFFFFF"/>
        <w:spacing w:line="276" w:lineRule="auto"/>
        <w:ind w:left="284"/>
        <w:rPr>
          <w:color w:val="000000" w:themeColor="text1"/>
        </w:rPr>
      </w:pPr>
      <w:r w:rsidRPr="002C7874">
        <w:rPr>
          <w:color w:val="000000" w:themeColor="text1"/>
        </w:rPr>
        <w:t>резервуарные парки перекачивающих станций </w:t>
      </w:r>
      <w:proofErr w:type="spellStart"/>
      <w:r w:rsidRPr="002C7874">
        <w:rPr>
          <w:color w:val="000000" w:themeColor="text1"/>
        </w:rPr>
        <w:t>нефте</w:t>
      </w:r>
      <w:proofErr w:type="spellEnd"/>
      <w:r w:rsidRPr="002C7874">
        <w:rPr>
          <w:color w:val="000000" w:themeColor="text1"/>
        </w:rPr>
        <w:t>- и нефтепродуктопроводов;</w:t>
      </w:r>
    </w:p>
    <w:p w:rsidR="00590C3B" w:rsidRPr="002C7874" w:rsidRDefault="00590C3B" w:rsidP="00590C3B">
      <w:pPr>
        <w:numPr>
          <w:ilvl w:val="0"/>
          <w:numId w:val="1"/>
        </w:numPr>
        <w:shd w:val="clear" w:color="auto" w:fill="FFFFFF"/>
        <w:spacing w:line="276" w:lineRule="auto"/>
        <w:ind w:left="284"/>
        <w:rPr>
          <w:color w:val="000000" w:themeColor="text1"/>
        </w:rPr>
      </w:pPr>
      <w:r w:rsidRPr="002C7874">
        <w:rPr>
          <w:color w:val="000000" w:themeColor="text1"/>
        </w:rPr>
        <w:t>резервуарные парки хранения нефтепродуктов различных объектов.</w:t>
      </w:r>
    </w:p>
    <w:p w:rsidR="00590C3B" w:rsidRPr="002C7874" w:rsidRDefault="00590C3B" w:rsidP="00590C3B">
      <w:pPr>
        <w:pStyle w:val="ab"/>
        <w:shd w:val="clear" w:color="auto" w:fill="FFFFFF"/>
        <w:spacing w:before="240" w:beforeAutospacing="0" w:after="0" w:afterAutospacing="0" w:line="276" w:lineRule="auto"/>
        <w:rPr>
          <w:color w:val="000000" w:themeColor="text1"/>
        </w:rPr>
      </w:pPr>
      <w:r w:rsidRPr="002C7874">
        <w:rPr>
          <w:color w:val="000000" w:themeColor="text1"/>
        </w:rPr>
        <w:t>Резервуарные парки первого вида характеризуются, как правило, значительными объемами хранимых жидкостей, а также тем, что в одной резервуарной группе хранятся нефтепродукты, близкие или одинаковые по составу и своим пожароопасным свойствам. В резервуарных парках второго вида все резервуары чаще всего имеют нефть или нефтепродукт одного вида.</w:t>
      </w:r>
    </w:p>
    <w:p w:rsidR="00F95520" w:rsidRDefault="00F95520" w:rsidP="00590C3B">
      <w:pPr>
        <w:ind w:firstLine="0"/>
      </w:pPr>
    </w:p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2A5C"/>
    <w:multiLevelType w:val="multilevel"/>
    <w:tmpl w:val="981E3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C3B"/>
    <w:rsid w:val="00590C3B"/>
    <w:rsid w:val="0065655D"/>
    <w:rsid w:val="009F0A83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Normal (Web)"/>
    <w:basedOn w:val="a"/>
    <w:uiPriority w:val="99"/>
    <w:unhideWhenUsed/>
    <w:rsid w:val="00590C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2019-04-10T04:21:00Z</dcterms:created>
  <dcterms:modified xsi:type="dcterms:W3CDTF">2019-04-10T04:21:00Z</dcterms:modified>
</cp:coreProperties>
</file>