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CDD" w:rsidRDefault="00FD4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 4</w:t>
      </w:r>
    </w:p>
    <w:p w:rsidR="00E96CDD" w:rsidRDefault="00FD42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цикловой методической комиссии естественнонаучных дисциплин</w:t>
      </w:r>
    </w:p>
    <w:p w:rsidR="00E96CDD" w:rsidRDefault="00FD42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(ЦМК ЕНД)</w:t>
      </w:r>
    </w:p>
    <w:p w:rsidR="00E96CDD" w:rsidRDefault="00FD4254">
      <w:pPr>
        <w:spacing w:before="12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«19»  ноября  2021 г.</w:t>
      </w:r>
    </w:p>
    <w:p w:rsidR="00E96CDD" w:rsidRDefault="00FD4254">
      <w:pPr>
        <w:spacing w:before="120"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заседании присутствовали (онлайн, удаленно):</w:t>
      </w:r>
    </w:p>
    <w:p w:rsidR="00E96CDD" w:rsidRDefault="00FD4254">
      <w:pPr>
        <w:spacing w:before="120" w:after="0"/>
        <w:ind w:left="10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Бастракова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Е.Р.,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Буцыкин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В.К.,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Вардугин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Г.М., Виниченко Я.А., Зайчиков И.М., Егорова М.С., Квинт А.В., Кочеткова О.П.,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Локтионова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И.Е., Пирогова С.И., Рязанова Г.М., Самсонова О.В., Харина Л.В.,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Метелькова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Е.А., Калугина Н.А.,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Попилова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И.А. Приглашенное лицо - начальник МО Ягодкина О.В.</w:t>
      </w:r>
      <w:proofErr w:type="gramEnd"/>
    </w:p>
    <w:p w:rsidR="00E96CDD" w:rsidRDefault="00FD4254">
      <w:pPr>
        <w:spacing w:before="120"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заседания:</w:t>
      </w:r>
    </w:p>
    <w:p w:rsidR="00E96CDD" w:rsidRDefault="00FD4254">
      <w:pPr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14"/>
          <w:szCs w:val="14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 рассмотрении КТП на 1 семестр 2021-2022 учебного года; методических разработок уроков и других учебно-методических материалов</w:t>
      </w:r>
    </w:p>
    <w:p w:rsidR="00E96CDD" w:rsidRDefault="00FD4254">
      <w:pPr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 подготовке к лицензированию новой специальности 13.02.07</w:t>
      </w:r>
    </w:p>
    <w:p w:rsidR="00E96CDD" w:rsidRDefault="00FD4254">
      <w:pPr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3.О разработке контрольно-измерительных материалов для промежуточной аттестации на 1 семестр 2021-2022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ода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(далее - КИМ ПА-1)</w:t>
      </w:r>
    </w:p>
    <w:p w:rsidR="00E96CDD" w:rsidRDefault="00FD4254">
      <w:pPr>
        <w:spacing w:after="0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Об утверждении отчёта о деятельности преподавателей ЦМК за ноябрь 2021г.</w:t>
      </w:r>
    </w:p>
    <w:p w:rsidR="00E96CDD" w:rsidRDefault="00FD4254">
      <w:pPr>
        <w:spacing w:before="120"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заседания:</w:t>
      </w:r>
    </w:p>
    <w:p w:rsidR="00E96CDD" w:rsidRDefault="00FD4254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Слушали председателя ЦМК ЕНД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Метелькову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Е.А.</w:t>
      </w:r>
    </w:p>
    <w:p w:rsidR="00E96CDD" w:rsidRDefault="00FD425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Преподавателям подготовить перечни вопросов и типовых заданий, экзаменационные билеты, для ПА-1 в срок до 26.11.2021.</w:t>
      </w:r>
    </w:p>
    <w:p w:rsidR="00E96CDD" w:rsidRDefault="00FD425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Рассмотреть возможность участия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региональной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студенческой НПК “Безопасность в информационном пространстве”</w:t>
      </w:r>
    </w:p>
    <w:p w:rsidR="00E96CDD" w:rsidRDefault="00FD425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Вардугину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 и Егоровой М.С. необходимо ликвидировать замечания по ведению Электронного журнала в АИС </w:t>
      </w:r>
      <w:proofErr w:type="spellStart"/>
      <w:r>
        <w:rPr>
          <w:rFonts w:ascii="Times New Roman" w:hAnsi="Times New Roman" w:cs="Times New Roman"/>
          <w:sz w:val="28"/>
          <w:szCs w:val="28"/>
        </w:rPr>
        <w:t>Дневник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E96CDD" w:rsidRDefault="00FD425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разработки РП/КОС по сп.13.02.07 все рабочие документы выложены по ссылке: </w:t>
      </w:r>
      <w:hyperlink r:id="rId7" w:history="1">
        <w:r w:rsidR="00D53480" w:rsidRPr="002B2CE9">
          <w:rPr>
            <w:rStyle w:val="a8"/>
            <w:rFonts w:ascii="Times New Roman" w:hAnsi="Times New Roman" w:cs="Times New Roman"/>
            <w:sz w:val="28"/>
            <w:szCs w:val="28"/>
          </w:rPr>
          <w:t>https://drive.google.com/drive/folders/1Y-gg-f281rAyFBTnMnj6d1D0xpRMqs16?usp=sharing</w:t>
        </w:r>
      </w:hyperlink>
      <w:r w:rsidR="00D534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6CDD" w:rsidRDefault="00FD4254">
      <w:pPr>
        <w:spacing w:before="120"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Постановили:</w:t>
      </w:r>
      <w:bookmarkStart w:id="0" w:name="_GoBack"/>
      <w:bookmarkEnd w:id="0"/>
    </w:p>
    <w:p w:rsidR="00E96CDD" w:rsidRDefault="00FD425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Одобрить и утвердить КТП преподавателей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Зайчикова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И.М.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Локтионовой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И.Е.; МР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Метельковой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Е.А., Ягодкиной О.В., Калугиной Н.А.</w:t>
      </w:r>
    </w:p>
    <w:p w:rsidR="00E96CDD" w:rsidRDefault="00FD425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на 26.11.2021 заседание ЦМК по рассмотрению и утверждению КИМ ПА-1</w:t>
      </w:r>
    </w:p>
    <w:p w:rsidR="00E96CDD" w:rsidRDefault="00FD425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Переработать РП/КОС назначенным преподавателям для подготовки к лицензированию специальности 13.02.07 и выслать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Метельковой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 - в срок до 22.11.2021. (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на стимулирование подать служебную записку в декабре </w:t>
      </w:r>
      <w:r w:rsidR="00D53480">
        <w:rPr>
          <w:rFonts w:ascii="Times New Roman" w:hAnsi="Times New Roman" w:cs="Times New Roman"/>
          <w:sz w:val="28"/>
          <w:szCs w:val="28"/>
          <w:u w:val="single"/>
        </w:rPr>
        <w:t xml:space="preserve">2021г </w:t>
      </w:r>
      <w:r>
        <w:rPr>
          <w:rFonts w:ascii="Times New Roman" w:hAnsi="Times New Roman" w:cs="Times New Roman"/>
          <w:sz w:val="28"/>
          <w:szCs w:val="28"/>
          <w:u w:val="single"/>
        </w:rPr>
        <w:t>после проверки!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96CDD" w:rsidRDefault="00FD425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отчет о деятельности преподавателей за ноябрь 2021 г. </w:t>
      </w:r>
    </w:p>
    <w:p w:rsidR="00E96CDD" w:rsidRDefault="00E96CDD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E96CDD" w:rsidRDefault="00FD4254" w:rsidP="00D534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ЦМК ЕНД  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Е.А.Метелькова</w:t>
      </w:r>
      <w:proofErr w:type="spellEnd"/>
      <w:r>
        <w:br w:type="page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Отчёт о деятельности преподавателей/мастера ПО 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ЦМК ЕНД за ноябрь 2021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f4"/>
        <w:tblW w:w="1047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5"/>
        <w:gridCol w:w="1561"/>
        <w:gridCol w:w="708"/>
        <w:gridCol w:w="4517"/>
        <w:gridCol w:w="555"/>
        <w:gridCol w:w="540"/>
        <w:gridCol w:w="765"/>
        <w:gridCol w:w="1055"/>
        <w:gridCol w:w="505"/>
      </w:tblGrid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ФИО преподавателя</w:t>
            </w:r>
          </w:p>
        </w:tc>
        <w:tc>
          <w:tcPr>
            <w:tcW w:w="7085" w:type="dxa"/>
            <w:gridSpan w:val="5"/>
          </w:tcPr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Перечень мероприятий преподавателей  (баллы)</w:t>
            </w:r>
          </w:p>
        </w:tc>
        <w:tc>
          <w:tcPr>
            <w:tcW w:w="1055" w:type="dxa"/>
            <w:vMerge w:val="restart"/>
          </w:tcPr>
          <w:p w:rsidR="00E96CDD" w:rsidRDefault="00FD4254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ИТОГО</w:t>
            </w:r>
          </w:p>
        </w:tc>
        <w:tc>
          <w:tcPr>
            <w:tcW w:w="505" w:type="dxa"/>
            <w:vMerge w:val="restart"/>
          </w:tcPr>
          <w:p w:rsidR="00E96CDD" w:rsidRDefault="00FD4254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Подпись</w:t>
            </w: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№ критерия</w:t>
            </w:r>
          </w:p>
        </w:tc>
        <w:tc>
          <w:tcPr>
            <w:tcW w:w="5072" w:type="dxa"/>
            <w:gridSpan w:val="2"/>
          </w:tcPr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Содержание мероприятия </w:t>
            </w:r>
          </w:p>
        </w:tc>
        <w:tc>
          <w:tcPr>
            <w:tcW w:w="540" w:type="dxa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Балл </w:t>
            </w:r>
          </w:p>
        </w:tc>
        <w:tc>
          <w:tcPr>
            <w:tcW w:w="765" w:type="dxa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Прим.</w:t>
            </w:r>
          </w:p>
        </w:tc>
        <w:tc>
          <w:tcPr>
            <w:tcW w:w="1055" w:type="dxa"/>
            <w:vMerge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shd w:val="clear" w:color="auto" w:fill="auto"/>
          </w:tcPr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708" w:type="dxa"/>
          </w:tcPr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5072" w:type="dxa"/>
            <w:gridSpan w:val="2"/>
          </w:tcPr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540" w:type="dxa"/>
          </w:tcPr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765" w:type="dxa"/>
          </w:tcPr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055" w:type="dxa"/>
          </w:tcPr>
          <w:p w:rsidR="00E96CDD" w:rsidRDefault="00FD4254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505" w:type="dxa"/>
          </w:tcPr>
          <w:p w:rsidR="00E96CDD" w:rsidRDefault="00FD4254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Бастракова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Е.Р.</w:t>
            </w:r>
          </w:p>
        </w:tc>
        <w:tc>
          <w:tcPr>
            <w:tcW w:w="708" w:type="dxa"/>
            <w:vAlign w:val="center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1.2.1</w:t>
            </w:r>
          </w:p>
        </w:tc>
        <w:tc>
          <w:tcPr>
            <w:tcW w:w="5072" w:type="dxa"/>
            <w:gridSpan w:val="2"/>
            <w:vAlign w:val="center"/>
          </w:tcPr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ИТОГИ ГИА: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абсолютая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успеваемость - 100%+качественная успеваемость - 100%</w:t>
            </w:r>
          </w:p>
        </w:tc>
        <w:tc>
          <w:tcPr>
            <w:tcW w:w="540" w:type="dxa"/>
            <w:vAlign w:val="center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1+3=4</w:t>
            </w:r>
          </w:p>
        </w:tc>
        <w:tc>
          <w:tcPr>
            <w:tcW w:w="765" w:type="dxa"/>
            <w:vMerge w:val="restart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E96CDD" w:rsidRDefault="00FD4254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505" w:type="dxa"/>
            <w:vMerge w:val="restart"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1.2.2</w:t>
            </w:r>
          </w:p>
        </w:tc>
        <w:tc>
          <w:tcPr>
            <w:tcW w:w="5072" w:type="dxa"/>
            <w:gridSpan w:val="2"/>
            <w:vAlign w:val="center"/>
          </w:tcPr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Ликвидация академической задолженности гр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380  комплексный экзамен ПМ.01,ПМ.05 Борискина Э, Самсонов А.</w:t>
            </w:r>
          </w:p>
        </w:tc>
        <w:tc>
          <w:tcPr>
            <w:tcW w:w="540" w:type="dxa"/>
            <w:vAlign w:val="center"/>
          </w:tcPr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vMerge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РП, КОС по ПМ.04</w:t>
            </w:r>
          </w:p>
        </w:tc>
        <w:tc>
          <w:tcPr>
            <w:tcW w:w="540" w:type="dxa"/>
            <w:vAlign w:val="center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2*1=2</w:t>
            </w:r>
          </w:p>
        </w:tc>
        <w:tc>
          <w:tcPr>
            <w:tcW w:w="765" w:type="dxa"/>
            <w:vMerge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КОС по ДОУ</w:t>
            </w:r>
          </w:p>
        </w:tc>
        <w:tc>
          <w:tcPr>
            <w:tcW w:w="540" w:type="dxa"/>
            <w:vAlign w:val="center"/>
          </w:tcPr>
          <w:p w:rsidR="00E96CDD" w:rsidRDefault="00FD4254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vMerge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РП, КОС по ОП 03 Налоги</w:t>
            </w:r>
          </w:p>
        </w:tc>
        <w:tc>
          <w:tcPr>
            <w:tcW w:w="540" w:type="dxa"/>
            <w:vAlign w:val="center"/>
          </w:tcPr>
          <w:p w:rsidR="00E96CDD" w:rsidRDefault="00FD4254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2* 0,5=1</w:t>
            </w:r>
          </w:p>
        </w:tc>
        <w:tc>
          <w:tcPr>
            <w:tcW w:w="765" w:type="dxa"/>
            <w:vMerge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Буцыкин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В.К.</w:t>
            </w:r>
          </w:p>
        </w:tc>
        <w:tc>
          <w:tcPr>
            <w:tcW w:w="708" w:type="dxa"/>
            <w:vAlign w:val="center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1.1.1.</w:t>
            </w:r>
          </w:p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1.1.1.</w:t>
            </w:r>
          </w:p>
        </w:tc>
        <w:tc>
          <w:tcPr>
            <w:tcW w:w="5072" w:type="dxa"/>
            <w:gridSpan w:val="2"/>
            <w:vAlign w:val="center"/>
          </w:tcPr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"Путь на Олимп" Троеборье. Юноши-2место,  </w:t>
            </w:r>
          </w:p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"Путь на Олимп" Троеборье. Девушки-3место.     20.10.21</w:t>
            </w:r>
          </w:p>
        </w:tc>
        <w:tc>
          <w:tcPr>
            <w:tcW w:w="540" w:type="dxa"/>
            <w:vAlign w:val="center"/>
          </w:tcPr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vMerge w:val="restart"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E96CDD" w:rsidRDefault="00FD4254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10,5</w:t>
            </w:r>
          </w:p>
        </w:tc>
        <w:tc>
          <w:tcPr>
            <w:tcW w:w="505" w:type="dxa"/>
            <w:vMerge w:val="restart"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1.1.2.</w:t>
            </w:r>
          </w:p>
        </w:tc>
        <w:tc>
          <w:tcPr>
            <w:tcW w:w="5072" w:type="dxa"/>
            <w:gridSpan w:val="2"/>
            <w:vAlign w:val="center"/>
          </w:tcPr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Всероссийский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конкурс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рганизация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студенческого клуба(АССК)   1-место.  21.10.21</w:t>
            </w:r>
          </w:p>
        </w:tc>
        <w:tc>
          <w:tcPr>
            <w:tcW w:w="540" w:type="dxa"/>
            <w:vAlign w:val="center"/>
          </w:tcPr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765" w:type="dxa"/>
            <w:vMerge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3.2.2</w:t>
            </w:r>
          </w:p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3.2.2.3.2.2.</w:t>
            </w:r>
          </w:p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3.2.2</w:t>
            </w:r>
          </w:p>
        </w:tc>
        <w:tc>
          <w:tcPr>
            <w:tcW w:w="5072" w:type="dxa"/>
            <w:gridSpan w:val="2"/>
            <w:vAlign w:val="center"/>
          </w:tcPr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Баскетбо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АССК) юноши. 21-25.10.21</w:t>
            </w:r>
          </w:p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Волейбо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АССК) юноши 26-30.10.21</w:t>
            </w:r>
          </w:p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Баскетбо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АССК) девушки 16.11-18.11</w:t>
            </w:r>
          </w:p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Первенство '' ТПТ'' по осеннему кроссу.  27.09.21</w:t>
            </w:r>
          </w:p>
        </w:tc>
        <w:tc>
          <w:tcPr>
            <w:tcW w:w="540" w:type="dxa"/>
            <w:vAlign w:val="center"/>
          </w:tcPr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Вардугин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Г.М.</w:t>
            </w:r>
          </w:p>
        </w:tc>
        <w:tc>
          <w:tcPr>
            <w:tcW w:w="708" w:type="dxa"/>
            <w:vAlign w:val="center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E96CDD" w:rsidRDefault="00E96CDD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765" w:type="dxa"/>
            <w:vMerge w:val="restart"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E96CDD" w:rsidRDefault="00FD4254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05" w:type="dxa"/>
            <w:vMerge w:val="restart"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E96CDD" w:rsidRDefault="00E96CDD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76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  <w:vMerge w:val="restart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Виниченко Я.А.</w:t>
            </w:r>
          </w:p>
        </w:tc>
        <w:tc>
          <w:tcPr>
            <w:tcW w:w="708" w:type="dxa"/>
            <w:vAlign w:val="center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1.2.2</w:t>
            </w:r>
          </w:p>
        </w:tc>
        <w:tc>
          <w:tcPr>
            <w:tcW w:w="5072" w:type="dxa"/>
            <w:gridSpan w:val="2"/>
            <w:vAlign w:val="center"/>
          </w:tcPr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25.10.2021 Ликвидация академической задолженности Самсонов А. Гр. К380, дисциплина "Экономика организации" </w:t>
            </w:r>
          </w:p>
        </w:tc>
        <w:tc>
          <w:tcPr>
            <w:tcW w:w="540" w:type="dxa"/>
            <w:vAlign w:val="center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vMerge w:val="restart"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E96CDD" w:rsidRDefault="00FD4254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505" w:type="dxa"/>
            <w:vMerge w:val="restart"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  <w:vMerge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09.-10.10.2021 Участие в I Всероссийском форуме классных руководителей. </w:t>
            </w:r>
            <w:hyperlink r:id="rId8">
              <w:r>
                <w:rPr>
                  <w:color w:val="0000EE"/>
                  <w:u w:val="single"/>
                </w:rPr>
                <w:t>Сертификат форум классных руководителей.pdf</w:t>
              </w:r>
            </w:hyperlink>
          </w:p>
        </w:tc>
        <w:tc>
          <w:tcPr>
            <w:tcW w:w="540" w:type="dxa"/>
            <w:vAlign w:val="center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E96CDD" w:rsidRDefault="00FD4254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Зайчиков И.М.</w:t>
            </w:r>
          </w:p>
        </w:tc>
        <w:tc>
          <w:tcPr>
            <w:tcW w:w="708" w:type="dxa"/>
            <w:vAlign w:val="center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E96CDD" w:rsidRDefault="00E96CDD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5" w:type="dxa"/>
            <w:vMerge w:val="restart"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E96CDD" w:rsidRDefault="00FD4254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05" w:type="dxa"/>
            <w:vMerge w:val="restart"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E96CDD" w:rsidRDefault="00E96CDD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Егорова М.С.</w:t>
            </w:r>
          </w:p>
        </w:tc>
        <w:tc>
          <w:tcPr>
            <w:tcW w:w="708" w:type="dxa"/>
            <w:vAlign w:val="center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E96CDD" w:rsidRDefault="00E96CDD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5" w:type="dxa"/>
            <w:vMerge w:val="restart"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E96CDD" w:rsidRDefault="00FD4254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05" w:type="dxa"/>
            <w:vMerge w:val="restart"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E96CDD" w:rsidRDefault="00E96CDD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Кочеткова О.П.</w:t>
            </w:r>
          </w:p>
        </w:tc>
        <w:tc>
          <w:tcPr>
            <w:tcW w:w="708" w:type="dxa"/>
            <w:vAlign w:val="center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E96CDD" w:rsidRDefault="00E96CDD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5" w:type="dxa"/>
            <w:vMerge w:val="restart"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E96CDD" w:rsidRDefault="00FD4254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05" w:type="dxa"/>
            <w:vMerge w:val="restart"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E96CDD" w:rsidRDefault="00E96CDD" w:rsidP="00D53480">
            <w:pPr>
              <w:widowControl w:val="0"/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Локтионова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И.Е.   </w:t>
            </w:r>
          </w:p>
        </w:tc>
        <w:tc>
          <w:tcPr>
            <w:tcW w:w="708" w:type="dxa"/>
            <w:vAlign w:val="center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1.1.1.</w:t>
            </w:r>
          </w:p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1.1.1.</w:t>
            </w:r>
          </w:p>
        </w:tc>
        <w:tc>
          <w:tcPr>
            <w:tcW w:w="5072" w:type="dxa"/>
            <w:gridSpan w:val="2"/>
            <w:vAlign w:val="center"/>
          </w:tcPr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"Путь на Олимп" Троеборье. Юноши-2место,  </w:t>
            </w:r>
          </w:p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"Путь на Олимп" Троеборье. Девушки-3место.     20.10.21</w:t>
            </w:r>
          </w:p>
        </w:tc>
        <w:tc>
          <w:tcPr>
            <w:tcW w:w="540" w:type="dxa"/>
            <w:vAlign w:val="center"/>
          </w:tcPr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vMerge w:val="restart"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E96CDD" w:rsidRDefault="00FD4254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12,5</w:t>
            </w:r>
          </w:p>
        </w:tc>
        <w:tc>
          <w:tcPr>
            <w:tcW w:w="505" w:type="dxa"/>
            <w:vMerge w:val="restart"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1.1.2.</w:t>
            </w:r>
          </w:p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Всероссийский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конкурс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рганизация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студенческого клуба(АССК)   1-место.  21.10.21</w:t>
            </w:r>
          </w:p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Участие “Большой этнографический диктант” (сертификат)</w:t>
            </w:r>
          </w:p>
        </w:tc>
        <w:tc>
          <w:tcPr>
            <w:tcW w:w="540" w:type="dxa"/>
            <w:vAlign w:val="center"/>
          </w:tcPr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vMerge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3.2.2</w:t>
            </w:r>
          </w:p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3.2.2.3.2.2.</w:t>
            </w:r>
          </w:p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3.2.2</w:t>
            </w:r>
          </w:p>
        </w:tc>
        <w:tc>
          <w:tcPr>
            <w:tcW w:w="5072" w:type="dxa"/>
            <w:gridSpan w:val="2"/>
            <w:vAlign w:val="center"/>
          </w:tcPr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Баскетбо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АССК) юноши. 21-25.10.21</w:t>
            </w:r>
          </w:p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Волейбо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АССК) юноши 26-30.10.21</w:t>
            </w:r>
          </w:p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Баскетбо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АССК) девушки 16.11-18.11</w:t>
            </w:r>
          </w:p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Первенство '' ТПТ'' по осеннему кроссу.  27.09.21</w:t>
            </w:r>
          </w:p>
        </w:tc>
        <w:tc>
          <w:tcPr>
            <w:tcW w:w="540" w:type="dxa"/>
            <w:vAlign w:val="center"/>
          </w:tcPr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3.2.2</w:t>
            </w:r>
          </w:p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3.2.2.3.2.2.</w:t>
            </w:r>
          </w:p>
        </w:tc>
        <w:tc>
          <w:tcPr>
            <w:tcW w:w="5072" w:type="dxa"/>
            <w:gridSpan w:val="2"/>
            <w:vAlign w:val="center"/>
          </w:tcPr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Баскетбо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АССК) юноши. 21-25.10.21</w:t>
            </w:r>
          </w:p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Волейбо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АССК) юноши 26-30.10.21</w:t>
            </w:r>
          </w:p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Баскетбо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АССК) девушки 16.11-18.11</w:t>
            </w:r>
          </w:p>
        </w:tc>
        <w:tc>
          <w:tcPr>
            <w:tcW w:w="540" w:type="dxa"/>
            <w:vAlign w:val="center"/>
          </w:tcPr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Пирогова С.И.</w:t>
            </w:r>
          </w:p>
        </w:tc>
        <w:tc>
          <w:tcPr>
            <w:tcW w:w="708" w:type="dxa"/>
            <w:vAlign w:val="center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Участие “Большой этнографический диктант” (сертификат)</w:t>
            </w:r>
          </w:p>
        </w:tc>
        <w:tc>
          <w:tcPr>
            <w:tcW w:w="540" w:type="dxa"/>
            <w:vAlign w:val="center"/>
          </w:tcPr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vMerge w:val="restart"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E96CDD" w:rsidRDefault="00FD4254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505" w:type="dxa"/>
            <w:vMerge w:val="restart"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Участие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зкодиктанте</w:t>
            </w:r>
            <w:proofErr w:type="spellEnd"/>
          </w:p>
        </w:tc>
        <w:tc>
          <w:tcPr>
            <w:tcW w:w="540" w:type="dxa"/>
            <w:vAlign w:val="center"/>
          </w:tcPr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Участие в географическом диктанте</w:t>
            </w:r>
          </w:p>
        </w:tc>
        <w:tc>
          <w:tcPr>
            <w:tcW w:w="540" w:type="dxa"/>
            <w:vAlign w:val="center"/>
          </w:tcPr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1.2.2</w:t>
            </w:r>
          </w:p>
        </w:tc>
        <w:tc>
          <w:tcPr>
            <w:tcW w:w="5072" w:type="dxa"/>
            <w:gridSpan w:val="2"/>
            <w:vAlign w:val="center"/>
          </w:tcPr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Ликвидация академической задолженности</w:t>
            </w:r>
          </w:p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Карнаухов  М.,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Шимоненко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Н.,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Патлатов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А., Чулочников Р., Прохоров Т.</w:t>
            </w:r>
          </w:p>
        </w:tc>
        <w:tc>
          <w:tcPr>
            <w:tcW w:w="540" w:type="dxa"/>
            <w:vAlign w:val="center"/>
          </w:tcPr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Участие в ОМО математиков 10.11.2021</w:t>
            </w:r>
          </w:p>
        </w:tc>
        <w:tc>
          <w:tcPr>
            <w:tcW w:w="540" w:type="dxa"/>
            <w:vAlign w:val="center"/>
          </w:tcPr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Рязанова Г.М.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1.2.2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Ликвидация академической задолженности гр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380  комплексный экзамен ПМ.01,ПМ.05 Борискина Э, Самсонов А. (прирост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абсол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>. успеваемости 12%)</w:t>
            </w:r>
          </w:p>
        </w:tc>
        <w:tc>
          <w:tcPr>
            <w:tcW w:w="540" w:type="dxa"/>
            <w:vAlign w:val="center"/>
          </w:tcPr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6CDD" w:rsidRDefault="00E96CDD" w:rsidP="00D534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E96CDD" w:rsidRDefault="00FD4254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1,5+</w:t>
            </w:r>
          </w:p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96CDD" w:rsidRDefault="00FD4254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4833,05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proofErr w:type="gramEnd"/>
          </w:p>
        </w:tc>
        <w:tc>
          <w:tcPr>
            <w:tcW w:w="505" w:type="dxa"/>
            <w:vMerge w:val="restart"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2.1.3.</w:t>
            </w:r>
          </w:p>
        </w:tc>
        <w:tc>
          <w:tcPr>
            <w:tcW w:w="5072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Работа в составе аттестационной комиссии ДПО, 2 чел.</w:t>
            </w:r>
          </w:p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  <w:t>(нет справки из РЦРПК)</w:t>
            </w:r>
          </w:p>
        </w:tc>
        <w:tc>
          <w:tcPr>
            <w:tcW w:w="540" w:type="dxa"/>
            <w:vAlign w:val="center"/>
          </w:tcPr>
          <w:p w:rsidR="00E96CDD" w:rsidRDefault="00E96CDD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6CDD" w:rsidRDefault="00E96CDD" w:rsidP="00D534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2.1.1.</w:t>
            </w:r>
          </w:p>
        </w:tc>
        <w:tc>
          <w:tcPr>
            <w:tcW w:w="5072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Участие в РУМО по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ИТ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, 27.10.21</w:t>
            </w:r>
          </w:p>
        </w:tc>
        <w:tc>
          <w:tcPr>
            <w:tcW w:w="540" w:type="dxa"/>
            <w:vAlign w:val="center"/>
          </w:tcPr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*</w:t>
            </w:r>
          </w:p>
        </w:tc>
        <w:tc>
          <w:tcPr>
            <w:tcW w:w="5072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Работа в системе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Moodle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в качестве администратора в октябре-ноябре, корректировка сводного документа по заполняемости системы. (Отчет представлен Ягодкиной О.В.) </w:t>
            </w:r>
          </w:p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31,5 часа*153,43=4833,05 руб.</w:t>
            </w:r>
          </w:p>
        </w:tc>
        <w:tc>
          <w:tcPr>
            <w:tcW w:w="540" w:type="dxa"/>
            <w:vAlign w:val="center"/>
          </w:tcPr>
          <w:p w:rsidR="00E96CDD" w:rsidRDefault="00E96CDD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shd w:val="clear" w:color="auto" w:fill="auto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Самсонова О.В.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1.2.2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Ликвидация академической задолженности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информатике: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Бовкун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Роман, гр. 219Р1, получил зачет за прошлый семестр, дополнительные занятия - 2 ч. </w:t>
            </w:r>
          </w:p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(по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служебной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2*153,43=306,86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540" w:type="dxa"/>
            <w:vAlign w:val="center"/>
          </w:tcPr>
          <w:p w:rsidR="00E96CDD" w:rsidRDefault="00E96CDD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6CDD" w:rsidRDefault="00E96CDD" w:rsidP="00D534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:rsidR="00E96CDD" w:rsidRDefault="00FD4254" w:rsidP="00D534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306,86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proofErr w:type="gramEnd"/>
          </w:p>
        </w:tc>
        <w:tc>
          <w:tcPr>
            <w:tcW w:w="505" w:type="dxa"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Харина Л.В.</w:t>
            </w:r>
          </w:p>
        </w:tc>
        <w:tc>
          <w:tcPr>
            <w:tcW w:w="708" w:type="dxa"/>
            <w:vAlign w:val="center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Участие “Большой этнографический диктант” (сертификат)</w:t>
            </w:r>
          </w:p>
        </w:tc>
        <w:tc>
          <w:tcPr>
            <w:tcW w:w="540" w:type="dxa"/>
            <w:vAlign w:val="center"/>
          </w:tcPr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65" w:type="dxa"/>
            <w:vMerge w:val="restart"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E96CDD" w:rsidRDefault="00FD4254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3,5</w:t>
            </w:r>
          </w:p>
        </w:tc>
        <w:tc>
          <w:tcPr>
            <w:tcW w:w="505" w:type="dxa"/>
            <w:vMerge w:val="restart"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E96CDD" w:rsidRDefault="00FD4254" w:rsidP="00D534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Заседание ОМО химии и экологии и биологии 17.11.21</w:t>
            </w:r>
          </w:p>
        </w:tc>
        <w:tc>
          <w:tcPr>
            <w:tcW w:w="540" w:type="dxa"/>
            <w:vAlign w:val="center"/>
          </w:tcPr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E96CDD" w:rsidRDefault="00E96CDD" w:rsidP="00D53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96CDD" w:rsidTr="00D53480">
        <w:trPr>
          <w:trHeight w:val="20"/>
          <w:jc w:val="center"/>
        </w:trPr>
        <w:tc>
          <w:tcPr>
            <w:tcW w:w="265" w:type="dxa"/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КОС ЕН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03 для специальности 15.02.12</w:t>
            </w:r>
          </w:p>
        </w:tc>
        <w:tc>
          <w:tcPr>
            <w:tcW w:w="540" w:type="dxa"/>
            <w:vAlign w:val="center"/>
          </w:tcPr>
          <w:p w:rsidR="00E96CDD" w:rsidRDefault="00FD4254" w:rsidP="00D53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E96CDD" w:rsidRDefault="00E96CDD" w:rsidP="00D534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96CDD" w:rsidTr="00D53480">
        <w:trPr>
          <w:gridAfter w:val="5"/>
          <w:wAfter w:w="3420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96CDD" w:rsidRDefault="00E96CDD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РАССМОТРЕНО</w:t>
            </w:r>
          </w:p>
        </w:tc>
      </w:tr>
      <w:tr w:rsidR="00E96CDD" w:rsidTr="00D53480">
        <w:trPr>
          <w:gridAfter w:val="5"/>
          <w:wAfter w:w="3420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96CDD" w:rsidRDefault="00FD4254" w:rsidP="00D5348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на заседании ЦМК ЕНД</w:t>
            </w:r>
          </w:p>
        </w:tc>
      </w:tr>
      <w:tr w:rsidR="00E96CDD" w:rsidTr="00D53480">
        <w:trPr>
          <w:gridAfter w:val="5"/>
          <w:wAfter w:w="3420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96CDD" w:rsidRDefault="00FD4254" w:rsidP="00D53480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Председатель ЦМК _________________ /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Е.А.Метелькова</w:t>
            </w:r>
            <w:proofErr w:type="spellEnd"/>
          </w:p>
          <w:p w:rsidR="00E96CDD" w:rsidRDefault="00FD4254" w:rsidP="00D53480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Протокол № </w:t>
            </w:r>
            <w:r>
              <w:rPr>
                <w:rFonts w:ascii="Times New Roman" w:hAnsi="Times New Roman" w:cs="Times New Roman"/>
                <w:sz w:val="19"/>
                <w:szCs w:val="19"/>
                <w:u w:val="single"/>
              </w:rPr>
              <w:t xml:space="preserve"> 4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от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u w:val="single"/>
              </w:rPr>
              <w:t>«</w:t>
            </w:r>
            <w:r>
              <w:rPr>
                <w:rFonts w:ascii="Times New Roman" w:hAnsi="Times New Roman" w:cs="Times New Roman"/>
                <w:sz w:val="19"/>
                <w:szCs w:val="19"/>
                <w:u w:val="single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u w:val="single"/>
              </w:rPr>
              <w:t>»  1</w:t>
            </w:r>
            <w:r>
              <w:rPr>
                <w:rFonts w:ascii="Times New Roman" w:hAnsi="Times New Roman" w:cs="Times New Roman"/>
                <w:sz w:val="19"/>
                <w:szCs w:val="19"/>
                <w:u w:val="single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u w:val="single"/>
              </w:rPr>
              <w:t>. 202</w:t>
            </w:r>
            <w:r>
              <w:rPr>
                <w:rFonts w:ascii="Times New Roman" w:hAnsi="Times New Roman" w:cs="Times New Roman"/>
                <w:sz w:val="19"/>
                <w:szCs w:val="19"/>
                <w:u w:val="single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u w:val="single"/>
              </w:rPr>
              <w:t>г.</w:t>
            </w:r>
          </w:p>
        </w:tc>
      </w:tr>
    </w:tbl>
    <w:p w:rsidR="00E96CDD" w:rsidRDefault="00E96CDD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bookmarkStart w:id="1" w:name="_heading=h.gjdgxs" w:colFirst="0" w:colLast="0"/>
      <w:bookmarkEnd w:id="1"/>
    </w:p>
    <w:p w:rsidR="00E96CDD" w:rsidRDefault="00E96CDD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</w:p>
    <w:sectPr w:rsidR="00E96CDD">
      <w:pgSz w:w="11906" w:h="16838"/>
      <w:pgMar w:top="454" w:right="454" w:bottom="454" w:left="72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35EF5"/>
    <w:multiLevelType w:val="multilevel"/>
    <w:tmpl w:val="5732958C"/>
    <w:lvl w:ilvl="0">
      <w:start w:val="1"/>
      <w:numFmt w:val="decimal"/>
      <w:lvlText w:val="%1."/>
      <w:lvlJc w:val="left"/>
      <w:pPr>
        <w:ind w:left="1170" w:hanging="450"/>
      </w:pPr>
      <w:rPr>
        <w:rFonts w:ascii="Arial" w:eastAsia="Arial" w:hAnsi="Arial" w:cs="Arial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EA0671C"/>
    <w:multiLevelType w:val="multilevel"/>
    <w:tmpl w:val="CA023796"/>
    <w:lvl w:ilvl="0">
      <w:start w:val="1"/>
      <w:numFmt w:val="decimal"/>
      <w:lvlText w:val="%1."/>
      <w:lvlJc w:val="left"/>
      <w:pPr>
        <w:ind w:left="1170" w:hanging="450"/>
      </w:pPr>
      <w:rPr>
        <w:rFonts w:ascii="Arial" w:eastAsia="Arial" w:hAnsi="Arial" w:cs="Arial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96CDD"/>
    <w:rsid w:val="00D53480"/>
    <w:rsid w:val="00E96CDD"/>
    <w:rsid w:val="00FD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16"/>
    <w:rPr>
      <w:rFonts w:eastAsia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uiPriority w:val="99"/>
    <w:rsid w:val="00752516"/>
    <w:pPr>
      <w:ind w:left="720"/>
    </w:pPr>
    <w:rPr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E41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41A1"/>
    <w:rPr>
      <w:rFonts w:ascii="Calibri" w:eastAsia="Times New Roman" w:hAnsi="Calibri" w:cs="Calibri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E41A1"/>
    <w:rPr>
      <w:vertAlign w:val="superscript"/>
    </w:rPr>
  </w:style>
  <w:style w:type="paragraph" w:styleId="a7">
    <w:name w:val="List Paragraph"/>
    <w:basedOn w:val="a"/>
    <w:uiPriority w:val="34"/>
    <w:qFormat/>
    <w:rsid w:val="004D799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4D799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D330EB"/>
    <w:rPr>
      <w:b/>
      <w:bCs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annotation subject"/>
    <w:basedOn w:val="af"/>
    <w:next w:val="af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f1"/>
    <w:link w:val="ae"/>
    <w:uiPriority w:val="99"/>
    <w:semiHidden/>
    <w:rPr>
      <w:b/>
      <w:bCs/>
      <w:sz w:val="20"/>
      <w:szCs w:val="20"/>
    </w:rPr>
  </w:style>
  <w:style w:type="paragraph" w:styleId="af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link w:val="af"/>
    <w:uiPriority w:val="99"/>
    <w:semiHidden/>
    <w:rPr>
      <w:sz w:val="20"/>
      <w:szCs w:val="20"/>
    </w:r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3">
    <w:name w:val="Normal (Web)"/>
    <w:basedOn w:val="a"/>
    <w:uiPriority w:val="99"/>
    <w:semiHidden/>
    <w:unhideWhenUsed/>
    <w:rsid w:val="00B705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16"/>
    <w:rPr>
      <w:rFonts w:eastAsia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uiPriority w:val="99"/>
    <w:rsid w:val="00752516"/>
    <w:pPr>
      <w:ind w:left="720"/>
    </w:pPr>
    <w:rPr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E41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41A1"/>
    <w:rPr>
      <w:rFonts w:ascii="Calibri" w:eastAsia="Times New Roman" w:hAnsi="Calibri" w:cs="Calibri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E41A1"/>
    <w:rPr>
      <w:vertAlign w:val="superscript"/>
    </w:rPr>
  </w:style>
  <w:style w:type="paragraph" w:styleId="a7">
    <w:name w:val="List Paragraph"/>
    <w:basedOn w:val="a"/>
    <w:uiPriority w:val="34"/>
    <w:qFormat/>
    <w:rsid w:val="004D799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4D799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D330EB"/>
    <w:rPr>
      <w:b/>
      <w:bCs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annotation subject"/>
    <w:basedOn w:val="af"/>
    <w:next w:val="af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f1"/>
    <w:link w:val="ae"/>
    <w:uiPriority w:val="99"/>
    <w:semiHidden/>
    <w:rPr>
      <w:b/>
      <w:bCs/>
      <w:sz w:val="20"/>
      <w:szCs w:val="20"/>
    </w:rPr>
  </w:style>
  <w:style w:type="paragraph" w:styleId="af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link w:val="af"/>
    <w:uiPriority w:val="99"/>
    <w:semiHidden/>
    <w:rPr>
      <w:sz w:val="20"/>
      <w:szCs w:val="20"/>
    </w:r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3">
    <w:name w:val="Normal (Web)"/>
    <w:basedOn w:val="a"/>
    <w:uiPriority w:val="99"/>
    <w:semiHidden/>
    <w:unhideWhenUsed/>
    <w:rsid w:val="00B705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kPOhW70Ck5Ihd6XD6AN39WEzcF7y_d5L/view?usp=sharing" TargetMode="External"/><Relationship Id="rId3" Type="http://schemas.openxmlformats.org/officeDocument/2006/relationships/styles" Target="styles.xml"/><Relationship Id="rId7" Type="http://schemas.openxmlformats.org/officeDocument/2006/relationships/hyperlink" Target="https://drive.google.com/drive/folders/1Y-gg-f281rAyFBTnMnj6d1D0xpRMqs16?usp=shari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gNIuO/ZwHJ3nc3XAPO1Xbfgkyg==">AMUW2mUE2SbOzHpsVI5rm490Cm46t6c3tqkis3PKp1cI7yC1ItR+UGCp+RuV6NPlrTbzmzJfAoE+IjRWdi6V+PlWzhqKKktrKUEQSVNkO0iqGmolfzEpQ5HQrDrwvZU/IZrGYOWFbG9Z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Elena</cp:lastModifiedBy>
  <cp:revision>4</cp:revision>
  <dcterms:created xsi:type="dcterms:W3CDTF">2021-11-22T11:04:00Z</dcterms:created>
  <dcterms:modified xsi:type="dcterms:W3CDTF">2021-11-22T11:06:00Z</dcterms:modified>
</cp:coreProperties>
</file>