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9C" w:rsidRDefault="00106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255">
        <w:rPr>
          <w:rFonts w:ascii="Times New Roman" w:hAnsi="Times New Roman" w:cs="Times New Roman"/>
          <w:b/>
          <w:sz w:val="28"/>
          <w:szCs w:val="28"/>
        </w:rPr>
        <w:t>11</w:t>
      </w:r>
    </w:p>
    <w:p w:rsidR="00D31A9C" w:rsidRDefault="00106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комиссии естественнонаучных дисциплин</w:t>
      </w:r>
    </w:p>
    <w:p w:rsidR="00D31A9C" w:rsidRDefault="001065EF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«19»  мая  2021 г.</w:t>
      </w:r>
    </w:p>
    <w:p w:rsidR="00D31A9C" w:rsidRDefault="001065EF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D31A9C" w:rsidRDefault="001065EF">
      <w:pPr>
        <w:spacing w:before="240"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Бикмухаметова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А.И.,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Панамарев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Н.С., Пирогова С.И., Рязанова Г.М., Самсонова О.В.,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Таукина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Н.Д., Харина Л.В.,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  <w:proofErr w:type="gramEnd"/>
    </w:p>
    <w:p w:rsidR="00D31A9C" w:rsidRDefault="001065EF">
      <w:pPr>
        <w:spacing w:before="24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D31A9C" w:rsidRPr="00F24088" w:rsidRDefault="001065E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7255">
        <w:rPr>
          <w:rFonts w:ascii="Times New Roman" w:eastAsia="Arial" w:hAnsi="Times New Roman" w:cs="Times New Roman"/>
          <w:b/>
          <w:sz w:val="28"/>
          <w:szCs w:val="28"/>
        </w:rPr>
        <w:t>1.</w:t>
      </w:r>
      <w:r w:rsidRPr="00337255">
        <w:rPr>
          <w:rFonts w:ascii="Times New Roman" w:hAnsi="Times New Roman" w:cs="Times New Roman"/>
          <w:sz w:val="14"/>
          <w:szCs w:val="14"/>
        </w:rPr>
        <w:t xml:space="preserve"> </w:t>
      </w:r>
      <w:r w:rsidRPr="00337255">
        <w:rPr>
          <w:rFonts w:ascii="Times New Roman" w:hAnsi="Times New Roman" w:cs="Times New Roman"/>
          <w:color w:val="FF0000"/>
          <w:sz w:val="14"/>
          <w:szCs w:val="14"/>
        </w:rPr>
        <w:t xml:space="preserve">  </w:t>
      </w:r>
      <w:r w:rsidRPr="00F24088">
        <w:rPr>
          <w:rFonts w:ascii="Times New Roman" w:hAnsi="Times New Roman" w:cs="Times New Roman"/>
          <w:sz w:val="28"/>
          <w:szCs w:val="28"/>
        </w:rPr>
        <w:t xml:space="preserve">Об </w:t>
      </w:r>
      <w:r w:rsidR="00B53EA1" w:rsidRPr="00F24088">
        <w:rPr>
          <w:rFonts w:ascii="Times New Roman" w:hAnsi="Times New Roman" w:cs="Times New Roman"/>
          <w:sz w:val="28"/>
          <w:szCs w:val="28"/>
        </w:rPr>
        <w:t>участии во II Региональном конкурсе научно-исследовательских  и проектных студенческих работ, направление «Планета-математика»</w:t>
      </w:r>
      <w:r w:rsidR="00F24088" w:rsidRPr="00F24088">
        <w:rPr>
          <w:rFonts w:ascii="Times New Roman" w:hAnsi="Times New Roman" w:cs="Times New Roman"/>
          <w:sz w:val="28"/>
          <w:szCs w:val="28"/>
        </w:rPr>
        <w:t>, «Шаг в науку-путь к успеху»</w:t>
      </w:r>
      <w:r w:rsidR="00B53EA1" w:rsidRPr="00F24088">
        <w:rPr>
          <w:rFonts w:ascii="Times New Roman" w:hAnsi="Times New Roman" w:cs="Times New Roman"/>
          <w:sz w:val="28"/>
          <w:szCs w:val="28"/>
        </w:rPr>
        <w:t xml:space="preserve"> (далее – Конкурсе</w:t>
      </w:r>
      <w:r w:rsidR="00F24088" w:rsidRPr="00F24088">
        <w:rPr>
          <w:rFonts w:ascii="Times New Roman" w:hAnsi="Times New Roman" w:cs="Times New Roman"/>
          <w:sz w:val="28"/>
          <w:szCs w:val="28"/>
        </w:rPr>
        <w:t xml:space="preserve"> 1 и Конкурсе 2</w:t>
      </w:r>
      <w:r w:rsidR="00B53EA1" w:rsidRPr="00F24088">
        <w:rPr>
          <w:rFonts w:ascii="Times New Roman" w:hAnsi="Times New Roman" w:cs="Times New Roman"/>
          <w:sz w:val="28"/>
          <w:szCs w:val="28"/>
        </w:rPr>
        <w:t>)</w:t>
      </w:r>
    </w:p>
    <w:p w:rsidR="00D31A9C" w:rsidRPr="00F24088" w:rsidRDefault="001065E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24088">
        <w:rPr>
          <w:rFonts w:ascii="Times New Roman" w:hAnsi="Times New Roman" w:cs="Times New Roman"/>
          <w:b/>
          <w:sz w:val="28"/>
          <w:szCs w:val="28"/>
        </w:rPr>
        <w:t>2</w:t>
      </w:r>
      <w:r w:rsidRPr="00F24088">
        <w:rPr>
          <w:rFonts w:ascii="Times New Roman" w:hAnsi="Times New Roman" w:cs="Times New Roman"/>
          <w:sz w:val="28"/>
          <w:szCs w:val="28"/>
        </w:rPr>
        <w:t xml:space="preserve">. </w:t>
      </w:r>
      <w:r w:rsidRPr="00F24088">
        <w:rPr>
          <w:rFonts w:ascii="Times New Roman" w:hAnsi="Times New Roman" w:cs="Times New Roman"/>
          <w:sz w:val="14"/>
          <w:szCs w:val="14"/>
        </w:rPr>
        <w:t xml:space="preserve">  </w:t>
      </w:r>
      <w:r w:rsidRPr="00F24088"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май 2021 г.</w:t>
      </w:r>
    </w:p>
    <w:p w:rsidR="00D31A9C" w:rsidRPr="00F24088" w:rsidRDefault="001065EF">
      <w:pPr>
        <w:spacing w:before="24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088"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D31A9C" w:rsidRPr="00F24088" w:rsidRDefault="001065EF" w:rsidP="00F2408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4088"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 w:rsidRPr="00F24088"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 w:rsidRPr="00F24088"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F24088" w:rsidRPr="00D7154A" w:rsidRDefault="00D7154A" w:rsidP="00F24088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54A">
        <w:rPr>
          <w:rFonts w:ascii="Times New Roman" w:hAnsi="Times New Roman" w:cs="Times New Roman"/>
          <w:sz w:val="28"/>
          <w:szCs w:val="28"/>
        </w:rPr>
        <w:t>В Конкурсе 1 приняли участие студенты, подготовленные только преподавателями Пироговой С.И. и Рязановой Г.М., Конкурсе 2 – студенты Хариной Л.В. Отмечается низкая активность</w:t>
      </w:r>
      <w:r>
        <w:rPr>
          <w:rFonts w:ascii="Times New Roman" w:hAnsi="Times New Roman" w:cs="Times New Roman"/>
          <w:sz w:val="28"/>
          <w:szCs w:val="28"/>
        </w:rPr>
        <w:t xml:space="preserve"> членов ЦМК ЕНД</w:t>
      </w:r>
      <w:r w:rsidRPr="00D7154A">
        <w:rPr>
          <w:rFonts w:ascii="Times New Roman" w:hAnsi="Times New Roman" w:cs="Times New Roman"/>
          <w:sz w:val="28"/>
          <w:szCs w:val="28"/>
        </w:rPr>
        <w:t>!!!</w:t>
      </w:r>
    </w:p>
    <w:p w:rsidR="00F24088" w:rsidRPr="00D7154A" w:rsidRDefault="00F24088" w:rsidP="00F24088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7154A">
        <w:rPr>
          <w:rFonts w:ascii="Times New Roman" w:hAnsi="Times New Roman" w:cs="Times New Roman"/>
          <w:sz w:val="28"/>
          <w:szCs w:val="28"/>
        </w:rPr>
        <w:t xml:space="preserve">*Участие </w:t>
      </w:r>
      <w:proofErr w:type="gramStart"/>
      <w:r w:rsidRPr="00D715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37255" w:rsidRPr="00D715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7255" w:rsidRPr="00D7154A">
        <w:rPr>
          <w:rFonts w:ascii="Times New Roman" w:hAnsi="Times New Roman" w:cs="Times New Roman"/>
          <w:sz w:val="28"/>
          <w:szCs w:val="28"/>
        </w:rPr>
        <w:t>Международной</w:t>
      </w:r>
      <w:proofErr w:type="gramEnd"/>
      <w:r w:rsidR="00337255" w:rsidRPr="00D7154A">
        <w:rPr>
          <w:rFonts w:ascii="Times New Roman" w:hAnsi="Times New Roman" w:cs="Times New Roman"/>
          <w:sz w:val="28"/>
          <w:szCs w:val="28"/>
        </w:rPr>
        <w:t xml:space="preserve"> научно-методической онлайн-конференции “Профессиональное образование: современные вызовы экономики и тренды развития” (на 27 мая 2021), отметить в июне! </w:t>
      </w:r>
      <w:r w:rsidR="00D715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37255" w:rsidRPr="00D7154A">
        <w:rPr>
          <w:rFonts w:ascii="Times New Roman" w:hAnsi="Times New Roman" w:cs="Times New Roman"/>
          <w:sz w:val="28"/>
          <w:szCs w:val="28"/>
        </w:rPr>
        <w:t>Бастракова</w:t>
      </w:r>
      <w:proofErr w:type="spellEnd"/>
      <w:r w:rsidR="00D7154A">
        <w:rPr>
          <w:rFonts w:ascii="Times New Roman" w:hAnsi="Times New Roman" w:cs="Times New Roman"/>
          <w:sz w:val="28"/>
          <w:szCs w:val="28"/>
        </w:rPr>
        <w:t xml:space="preserve"> </w:t>
      </w:r>
      <w:r w:rsidRPr="00D7154A">
        <w:rPr>
          <w:rFonts w:ascii="Times New Roman" w:hAnsi="Times New Roman" w:cs="Times New Roman"/>
          <w:sz w:val="28"/>
          <w:szCs w:val="28"/>
        </w:rPr>
        <w:t>Е.Р.</w:t>
      </w:r>
      <w:r w:rsidR="00337255" w:rsidRPr="00D7154A">
        <w:rPr>
          <w:rFonts w:ascii="Times New Roman" w:hAnsi="Times New Roman" w:cs="Times New Roman"/>
          <w:sz w:val="28"/>
          <w:szCs w:val="28"/>
        </w:rPr>
        <w:t>, Виниченко</w:t>
      </w:r>
      <w:r w:rsidRPr="00D7154A">
        <w:rPr>
          <w:rFonts w:ascii="Times New Roman" w:hAnsi="Times New Roman" w:cs="Times New Roman"/>
          <w:sz w:val="28"/>
          <w:szCs w:val="28"/>
        </w:rPr>
        <w:t xml:space="preserve"> Я.А.</w:t>
      </w:r>
      <w:r w:rsidR="00D7154A">
        <w:rPr>
          <w:rFonts w:ascii="Times New Roman" w:hAnsi="Times New Roman" w:cs="Times New Roman"/>
          <w:sz w:val="28"/>
          <w:szCs w:val="28"/>
        </w:rPr>
        <w:t>)</w:t>
      </w:r>
    </w:p>
    <w:p w:rsidR="008B4BC8" w:rsidRDefault="00F24088" w:rsidP="00F24088">
      <w:pPr>
        <w:pStyle w:val="a7"/>
        <w:spacing w:after="0"/>
        <w:ind w:left="1353"/>
        <w:jc w:val="both"/>
        <w:rPr>
          <w:rFonts w:ascii="Times New Roman" w:hAnsi="Times New Roman" w:cs="Times New Roman"/>
          <w:sz w:val="28"/>
          <w:szCs w:val="28"/>
        </w:rPr>
      </w:pPr>
      <w:r w:rsidRPr="00D7154A">
        <w:rPr>
          <w:rFonts w:ascii="Times New Roman" w:hAnsi="Times New Roman" w:cs="Times New Roman"/>
          <w:sz w:val="28"/>
          <w:szCs w:val="28"/>
        </w:rPr>
        <w:t xml:space="preserve">*Расчет примерной стоимости расходных материалов на 1 человека по ДЭ на июнь </w:t>
      </w:r>
      <w:proofErr w:type="spellStart"/>
      <w:r w:rsidRPr="00D7154A">
        <w:rPr>
          <w:rFonts w:ascii="Times New Roman" w:hAnsi="Times New Roman" w:cs="Times New Roman"/>
          <w:sz w:val="28"/>
          <w:szCs w:val="28"/>
        </w:rPr>
        <w:t>Бастраковой</w:t>
      </w:r>
      <w:proofErr w:type="spellEnd"/>
      <w:r w:rsidRPr="00D7154A">
        <w:rPr>
          <w:rFonts w:ascii="Times New Roman" w:hAnsi="Times New Roman" w:cs="Times New Roman"/>
          <w:sz w:val="28"/>
          <w:szCs w:val="28"/>
        </w:rPr>
        <w:t xml:space="preserve"> Е.Р.</w:t>
      </w:r>
    </w:p>
    <w:p w:rsidR="00D31A9C" w:rsidRPr="00337255" w:rsidRDefault="00D7154A" w:rsidP="00D7154A">
      <w:pPr>
        <w:pStyle w:val="a7"/>
        <w:spacing w:after="0"/>
        <w:ind w:left="135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*Прием пересдачи по информатике и математике у выпускников, идущих на красный диплом, подать на оплату через консультации по справке.</w:t>
      </w:r>
    </w:p>
    <w:p w:rsidR="00D31A9C" w:rsidRPr="00F24088" w:rsidRDefault="001065EF">
      <w:pPr>
        <w:spacing w:before="24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088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F24088" w:rsidRPr="00F24088" w:rsidRDefault="001065EF" w:rsidP="00F24088">
      <w:pPr>
        <w:pStyle w:val="a7"/>
        <w:spacing w:after="0"/>
        <w:ind w:left="1440"/>
        <w:jc w:val="both"/>
        <w:rPr>
          <w:rFonts w:ascii="Times New Roman" w:hAnsi="Times New Roman" w:cs="Times New Roman"/>
          <w:sz w:val="14"/>
          <w:szCs w:val="14"/>
        </w:rPr>
      </w:pPr>
      <w:r w:rsidRPr="00F24088">
        <w:rPr>
          <w:rFonts w:ascii="Times New Roman" w:hAnsi="Times New Roman" w:cs="Times New Roman"/>
          <w:sz w:val="14"/>
          <w:szCs w:val="14"/>
        </w:rPr>
        <w:t xml:space="preserve">   </w:t>
      </w:r>
    </w:p>
    <w:p w:rsidR="00F24088" w:rsidRPr="00F24088" w:rsidRDefault="002B34BE" w:rsidP="00F2408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 относящиеся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 функционалу классного руководителя, в ежемесячные отчеты о деятельности преподавателей не включать.</w:t>
      </w:r>
    </w:p>
    <w:p w:rsidR="00D31A9C" w:rsidRPr="00F24088" w:rsidRDefault="001065EF" w:rsidP="00F2408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088"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май 2021 г. </w:t>
      </w:r>
    </w:p>
    <w:p w:rsidR="00D31A9C" w:rsidRPr="00F24088" w:rsidRDefault="00D31A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1A9C" w:rsidRDefault="00D31A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154A" w:rsidRDefault="00D715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1A9C" w:rsidRDefault="001065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</w:p>
    <w:p w:rsidR="00D31A9C" w:rsidRDefault="001065EF" w:rsidP="0088381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br w:type="page"/>
      </w: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36"/>
          <w:szCs w:val="36"/>
        </w:rPr>
        <w:br/>
      </w:r>
      <w:r>
        <w:rPr>
          <w:rFonts w:ascii="Times New Roman" w:hAnsi="Times New Roman" w:cs="Times New Roman"/>
          <w:b/>
          <w:sz w:val="36"/>
          <w:szCs w:val="36"/>
          <w:u w:val="single"/>
        </w:rPr>
        <w:t>ЦМК ЕНД за май 2021 г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D31A9C" w:rsidRDefault="00D31A9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2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10"/>
        <w:gridCol w:w="795"/>
        <w:gridCol w:w="1055"/>
        <w:gridCol w:w="505"/>
      </w:tblGrid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D31A9C" w:rsidRPr="00337255" w:rsidRDefault="001065EF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05" w:type="dxa"/>
            <w:vMerge w:val="restart"/>
          </w:tcPr>
          <w:p w:rsidR="00D31A9C" w:rsidRPr="00337255" w:rsidRDefault="001065EF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Подпись</w:t>
            </w: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D31A9C" w:rsidRPr="00337255" w:rsidRDefault="00D31A9C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Содержание мероприятия</w:t>
            </w:r>
          </w:p>
        </w:tc>
        <w:tc>
          <w:tcPr>
            <w:tcW w:w="510" w:type="dxa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795" w:type="dxa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  <w:tc>
          <w:tcPr>
            <w:tcW w:w="1055" w:type="dxa"/>
            <w:vMerge/>
          </w:tcPr>
          <w:p w:rsidR="00D31A9C" w:rsidRPr="00337255" w:rsidRDefault="00D31A9C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</w:tcPr>
          <w:p w:rsidR="00D31A9C" w:rsidRPr="00337255" w:rsidRDefault="00D31A9C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2" w:type="dxa"/>
            <w:gridSpan w:val="2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5" w:type="dxa"/>
          </w:tcPr>
          <w:p w:rsidR="00D31A9C" w:rsidRPr="00337255" w:rsidRDefault="001065EF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5" w:type="dxa"/>
          </w:tcPr>
          <w:p w:rsidR="00D31A9C" w:rsidRPr="00337255" w:rsidRDefault="001065EF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Бастракова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D31A9C" w:rsidRPr="00337255" w:rsidRDefault="00057844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D31A9C" w:rsidRPr="00337255" w:rsidRDefault="001065EF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24.04.21. прохождение анкетирования на сайте “Финансовая культура”</w:t>
            </w:r>
          </w:p>
        </w:tc>
        <w:tc>
          <w:tcPr>
            <w:tcW w:w="510" w:type="dxa"/>
            <w:vAlign w:val="center"/>
          </w:tcPr>
          <w:p w:rsidR="00D31A9C" w:rsidRPr="00337255" w:rsidRDefault="00057844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D31A9C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31A9C" w:rsidRPr="00337255" w:rsidRDefault="00057844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D31A9C" w:rsidRPr="00337255" w:rsidRDefault="001065EF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29.04. 21. прохождение “Диктант Победы” </w:t>
            </w:r>
          </w:p>
        </w:tc>
        <w:tc>
          <w:tcPr>
            <w:tcW w:w="510" w:type="dxa"/>
            <w:vAlign w:val="center"/>
          </w:tcPr>
          <w:p w:rsidR="00D31A9C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31A9C" w:rsidRPr="00337255" w:rsidRDefault="00057844" w:rsidP="000578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D31A9C" w:rsidRPr="00337255" w:rsidRDefault="001065EF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23.04.21 Участие в РУМО “Основы финансовой грамотности” </w:t>
            </w:r>
            <w:r w:rsidR="00337255">
              <w:rPr>
                <w:rFonts w:ascii="Times New Roman" w:hAnsi="Times New Roman" w:cs="Times New Roman"/>
                <w:sz w:val="20"/>
                <w:szCs w:val="20"/>
              </w:rPr>
              <w:t>ТАК</w:t>
            </w:r>
          </w:p>
        </w:tc>
        <w:tc>
          <w:tcPr>
            <w:tcW w:w="510" w:type="dxa"/>
            <w:vAlign w:val="center"/>
          </w:tcPr>
          <w:p w:rsidR="00D31A9C" w:rsidRPr="00337255" w:rsidRDefault="00337255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D31A9C" w:rsidRPr="00337255" w:rsidRDefault="001065EF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Бикмухаметова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708" w:type="dxa"/>
            <w:vAlign w:val="center"/>
          </w:tcPr>
          <w:p w:rsidR="00D31A9C" w:rsidRPr="00337255" w:rsidRDefault="00057844" w:rsidP="00616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164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072" w:type="dxa"/>
            <w:gridSpan w:val="2"/>
            <w:vAlign w:val="center"/>
          </w:tcPr>
          <w:p w:rsidR="00D31A9C" w:rsidRPr="00337255" w:rsidRDefault="001065EF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Подготовка методических материалов  и проведение открытого урока  22.04.21 по статистике</w:t>
            </w:r>
          </w:p>
        </w:tc>
        <w:tc>
          <w:tcPr>
            <w:tcW w:w="510" w:type="dxa"/>
            <w:vAlign w:val="center"/>
          </w:tcPr>
          <w:p w:rsidR="00D31A9C" w:rsidRPr="00337255" w:rsidRDefault="00057844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Merge w:val="restart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D31A9C" w:rsidRPr="00337255" w:rsidRDefault="00057844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05" w:type="dxa"/>
            <w:vMerge w:val="restart"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1A9C" w:rsidRPr="00337255" w:rsidTr="00337255">
        <w:trPr>
          <w:trHeight w:val="20"/>
          <w:jc w:val="center"/>
        </w:trPr>
        <w:tc>
          <w:tcPr>
            <w:tcW w:w="265" w:type="dxa"/>
          </w:tcPr>
          <w:p w:rsidR="00D31A9C" w:rsidRPr="00337255" w:rsidRDefault="00D31A9C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31A9C" w:rsidRPr="00337255" w:rsidRDefault="00057844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D31A9C" w:rsidRPr="00337255" w:rsidRDefault="001065EF" w:rsidP="0005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25.04 Прохождение тестирования по финансовой грамотности для банка </w:t>
            </w: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proofErr w:type="spellEnd"/>
          </w:p>
        </w:tc>
        <w:tc>
          <w:tcPr>
            <w:tcW w:w="510" w:type="dxa"/>
            <w:vAlign w:val="center"/>
          </w:tcPr>
          <w:p w:rsidR="00D31A9C" w:rsidRPr="00337255" w:rsidRDefault="00337255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D31A9C" w:rsidRPr="00337255" w:rsidRDefault="00D31A9C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415" w:rsidRPr="00337255" w:rsidTr="00337255">
        <w:trPr>
          <w:trHeight w:val="20"/>
          <w:jc w:val="center"/>
        </w:trPr>
        <w:tc>
          <w:tcPr>
            <w:tcW w:w="265" w:type="dxa"/>
          </w:tcPr>
          <w:p w:rsidR="00616415" w:rsidRPr="008B4BC8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616415" w:rsidRPr="00337255" w:rsidRDefault="00616415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Буцыкин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616415" w:rsidRPr="00337255" w:rsidRDefault="00616415" w:rsidP="00815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616415" w:rsidRPr="00337255" w:rsidRDefault="00616415" w:rsidP="00815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26.04.21 участие команды ТПТ в соревнованиях по кроссу</w:t>
            </w:r>
            <w:r w:rsidR="00011F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"Путь на олимп" Юноши- 2 место. </w:t>
            </w:r>
            <w:r w:rsidR="00011FEC">
              <w:rPr>
                <w:rFonts w:ascii="Times New Roman" w:hAnsi="Times New Roman" w:cs="Times New Roman"/>
                <w:sz w:val="20"/>
                <w:szCs w:val="20"/>
              </w:rPr>
              <w:t xml:space="preserve">Арцимович </w:t>
            </w:r>
            <w:proofErr w:type="gramStart"/>
            <w:r w:rsidR="00011FEC">
              <w:rPr>
                <w:rFonts w:ascii="Times New Roman" w:hAnsi="Times New Roman" w:cs="Times New Roman"/>
                <w:sz w:val="20"/>
                <w:szCs w:val="20"/>
              </w:rPr>
              <w:t>–л</w:t>
            </w:r>
            <w:proofErr w:type="gramEnd"/>
            <w:r w:rsidR="00011FEC">
              <w:rPr>
                <w:rFonts w:ascii="Times New Roman" w:hAnsi="Times New Roman" w:cs="Times New Roman"/>
                <w:sz w:val="20"/>
                <w:szCs w:val="20"/>
              </w:rPr>
              <w:t>ичное 2 место</w:t>
            </w:r>
          </w:p>
        </w:tc>
        <w:tc>
          <w:tcPr>
            <w:tcW w:w="510" w:type="dxa"/>
            <w:vAlign w:val="center"/>
          </w:tcPr>
          <w:p w:rsidR="00616415" w:rsidRPr="00337255" w:rsidRDefault="00616415" w:rsidP="00815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616415" w:rsidRPr="00337255" w:rsidRDefault="00616415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616415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11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505" w:type="dxa"/>
            <w:vMerge w:val="restart"/>
            <w:vAlign w:val="center"/>
          </w:tcPr>
          <w:p w:rsidR="00616415" w:rsidRPr="00337255" w:rsidRDefault="00616415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8B4BC8" w:rsidRDefault="008B4BC8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815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815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место в открытом межнациональном турнире «Кубок Дружбы народов» Томской области по смешанному волейболу (3х3), посвященный Дню Победы в ВОВ!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815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8B4BC8" w:rsidRDefault="008B4BC8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815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815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 личное место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Д.) в областных соревнования, посвященных Дню Победы в ВОВ по настольному теннису среди обучающихся техникумов и колледжей</w:t>
            </w:r>
            <w:proofErr w:type="gramEnd"/>
          </w:p>
        </w:tc>
        <w:tc>
          <w:tcPr>
            <w:tcW w:w="510" w:type="dxa"/>
            <w:vAlign w:val="center"/>
          </w:tcPr>
          <w:p w:rsidR="008B4BC8" w:rsidRPr="00337255" w:rsidRDefault="008B4BC8" w:rsidP="00815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6A29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6A2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6.05.21 Кросс среди учащихся ТПТ в честь Дня Победы. 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6A2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Вардугин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8B4BC8" w:rsidRPr="00337255" w:rsidRDefault="008B4BC8" w:rsidP="000578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Участие в заседании ОМО математиков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Виниченко Я.А.</w:t>
            </w:r>
          </w:p>
        </w:tc>
        <w:tc>
          <w:tcPr>
            <w:tcW w:w="708" w:type="dxa"/>
            <w:vMerge w:val="restart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Pr="0033725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XXV Международном научном симпозиуме студентов и молодых ученых имени академика М.А. Усова «Проблемы геологии и освоения недр» 4 сертификата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9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участие в открытой научно-практической конференции «Инженерная мысль: настоящее и будущее» ТГАСУ.  6 сертификатов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0578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25.04 Прохождение тестирования по 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финансовой</w:t>
            </w:r>
            <w:proofErr w:type="gram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для банка </w:t>
            </w: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proofErr w:type="spellEnd"/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Локтионова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30.04.21 прохождение "Диктант Победы" 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8B4BC8" w:rsidRDefault="008B4BC8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815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26.04.21 участие команды ТПТ в соревнованиях по кроссу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"Путь на олимп" Юноши- 2 место.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Арцимович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ичное 2 место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815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815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616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методических материалов  и проведение открытого урока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ф-ре</w:t>
            </w:r>
            <w:proofErr w:type="gramEnd"/>
          </w:p>
        </w:tc>
        <w:tc>
          <w:tcPr>
            <w:tcW w:w="510" w:type="dxa"/>
            <w:vAlign w:val="center"/>
          </w:tcPr>
          <w:p w:rsidR="008B4BC8" w:rsidRPr="00337255" w:rsidRDefault="008B4BC8" w:rsidP="00815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6.05.21 Кросс среди учащихся ТПТ в честь Дня Победы. 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Панамарев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Участие в заседании ОМО математиков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Организация студентов 1 курса в диктанте, посвящённому дню Космонавтики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9D23ED" w:rsidRDefault="009D23ED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Личное прохождение Диктанта победы.30.04.21 и 3 студента </w:t>
            </w: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138э</w:t>
            </w:r>
          </w:p>
        </w:tc>
        <w:tc>
          <w:tcPr>
            <w:tcW w:w="510" w:type="dxa"/>
            <w:vAlign w:val="center"/>
          </w:tcPr>
          <w:p w:rsidR="008B4BC8" w:rsidRPr="00337255" w:rsidRDefault="009D23ED" w:rsidP="009D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1+2,5</w:t>
            </w:r>
          </w:p>
        </w:tc>
        <w:tc>
          <w:tcPr>
            <w:tcW w:w="79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B4BC8" w:rsidRPr="00337255" w:rsidRDefault="009D23ED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Выступление на ОМО. Презентация своего урока “ Сечение многогранников”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положения и подготовка задания для </w:t>
            </w: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внутритехникумовской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олимпиады по 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21.05.2021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Проверка работ в качестве эксперта работ участников  I  заочного этапа  конкурса II Региональном конкурсе научно-исследовательских  и проектных студенческих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“ Планета-математика”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Консультации по математике гр. 210б1 4 часа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Работа с сайтом ОМО; обновление информации заседания ОМО от 13.05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 w:val="restart"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BC8" w:rsidRPr="00337255" w:rsidTr="00337255">
        <w:trPr>
          <w:trHeight w:val="20"/>
          <w:jc w:val="center"/>
        </w:trPr>
        <w:tc>
          <w:tcPr>
            <w:tcW w:w="265" w:type="dxa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B4BC8" w:rsidRPr="00337255" w:rsidRDefault="008B4BC8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B4BC8" w:rsidRPr="00337255" w:rsidRDefault="008B4BC8" w:rsidP="00616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методических материалов  и проведение 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открытого урока  23.04.21 по математике</w:t>
            </w:r>
          </w:p>
        </w:tc>
        <w:tc>
          <w:tcPr>
            <w:tcW w:w="510" w:type="dxa"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95" w:type="dxa"/>
            <w:vMerge/>
            <w:vAlign w:val="center"/>
          </w:tcPr>
          <w:p w:rsidR="008B4BC8" w:rsidRPr="00337255" w:rsidRDefault="008B4BC8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B4BC8" w:rsidRPr="00337255" w:rsidRDefault="008B4BC8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8B4BC8" w:rsidRDefault="00883810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Работа над проектом “ Электромагнитный ускоритель частиц”  участия Попадьина А. в II Региональном конкурсе научно-исследовательских  и проектных студенческих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участие 20.05.2021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810" w:rsidRPr="00337255" w:rsidTr="00FB25A0">
        <w:trPr>
          <w:trHeight w:val="20"/>
          <w:jc w:val="center"/>
        </w:trPr>
        <w:tc>
          <w:tcPr>
            <w:tcW w:w="265" w:type="dxa"/>
          </w:tcPr>
          <w:p w:rsidR="00883810" w:rsidRPr="008B4BC8" w:rsidRDefault="00883810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Рязанова Г.М.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Default="00883810" w:rsidP="00815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883810" w:rsidRPr="00337255" w:rsidRDefault="00883810" w:rsidP="00815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1.1.6.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3810" w:rsidRPr="00337255" w:rsidRDefault="00883810" w:rsidP="008151FC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Завершения 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экономики”, 176 человек, 100% реализация проекта </w:t>
            </w:r>
            <w:r w:rsidRPr="00FB25A0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(за исключением отчисленных студентов)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815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50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8B4BC8" w:rsidRDefault="00883810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9D23ED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9D23ED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3ED">
              <w:rPr>
                <w:rFonts w:ascii="Times New Roman" w:hAnsi="Times New Roman" w:cs="Times New Roman"/>
                <w:sz w:val="20"/>
                <w:szCs w:val="20"/>
              </w:rPr>
              <w:t>Участие во II Региональном конкурсе научно-исследовательских  и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студенческих работ,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К380</w:t>
            </w:r>
            <w:r w:rsidRPr="009D23ED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Планета-математика.</w:t>
            </w:r>
          </w:p>
        </w:tc>
        <w:tc>
          <w:tcPr>
            <w:tcW w:w="510" w:type="dxa"/>
            <w:vAlign w:val="center"/>
          </w:tcPr>
          <w:p w:rsidR="00883810" w:rsidRPr="009D23ED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студентов группы К380 во Всероссийском Диктанте победы 29 апреля, 13 человек.</w:t>
            </w:r>
          </w:p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Личное прохождение Диктанта победы. 29.04.2021.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,5+1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студентов группы К380 в федеральном проекте «Цифровой диктант» 11 человек  20-22 апреля 2021.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8B4BC8" w:rsidRDefault="00883810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студентов группы К380 во Всероссийском конкурсе «Большая перемена» 15 человек  12-13 мая 2021.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50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Участие в проведении мероприятия «День открытых дверей», презентация специальности «Экономика и бухгалтерский учет» 23.04.2021.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Подготовка методической разработки открытого урока, проведение урока 14.05.2021 гр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респект-встрече</w:t>
            </w:r>
            <w:proofErr w:type="gram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, проводимой ЦОПП, по направлению «Ключевые компетенции цифровой экономики» 26.04.2021.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(редактирование настроек курсов, консультация Гордеевой Н.В., восстановление пароля Пироговой Е.Д... редактирование списка администраторов)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8B4BC8" w:rsidRDefault="00883810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Самсонова О.В.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1.1.6.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3810" w:rsidRPr="00FB25A0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Завершения 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экономики”, 176 человек, 100% реализация проекта </w:t>
            </w:r>
            <w:r w:rsidRPr="00FB25A0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(за исключением отчисленных студентов)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83810" w:rsidRPr="002002AA" w:rsidRDefault="00883810" w:rsidP="009D2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FB25A0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респект-встрече</w:t>
            </w:r>
            <w:proofErr w:type="gram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, проводимой ЦОПП, по направлению «Ключевые компетенции цифровой экономики» 26.04.2021.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18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Таукина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Н.Д.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Участие ОМО химии и биологии 28.04.21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505" w:type="dxa"/>
            <w:vMerge w:val="restart"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FB25A0">
        <w:trPr>
          <w:trHeight w:val="20"/>
          <w:jc w:val="center"/>
        </w:trPr>
        <w:tc>
          <w:tcPr>
            <w:tcW w:w="265" w:type="dxa"/>
          </w:tcPr>
          <w:p w:rsidR="00883810" w:rsidRPr="008B4BC8" w:rsidRDefault="00883810" w:rsidP="00C018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B4BC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участие в региональной конференции Шаг в науку шаг к успеху студент </w:t>
            </w: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 210Б1 Дубков Сергей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19.05.2021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материалов для проведения мероприятия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Эколет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зарядись по-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хорошему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Организация студентов 1 курса в участии Всероссийского химического диктанта (54 чел. сертификаты)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trHeight w:val="20"/>
          <w:jc w:val="center"/>
        </w:trPr>
        <w:tc>
          <w:tcPr>
            <w:tcW w:w="265" w:type="dxa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Прохождение Всероссийского химического диктанта сертификат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личный</w:t>
            </w:r>
          </w:p>
        </w:tc>
        <w:tc>
          <w:tcPr>
            <w:tcW w:w="510" w:type="dxa"/>
            <w:vAlign w:val="center"/>
          </w:tcPr>
          <w:p w:rsidR="00883810" w:rsidRPr="00337255" w:rsidRDefault="00883810" w:rsidP="0033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883810" w:rsidRPr="00337255" w:rsidRDefault="00883810" w:rsidP="00337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3810" w:rsidRPr="00337255" w:rsidTr="00337255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810" w:rsidRPr="00FB25A0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</w:tr>
      <w:tr w:rsidR="00883810" w:rsidRPr="00337255" w:rsidTr="00337255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810" w:rsidRPr="00337255" w:rsidRDefault="00883810" w:rsidP="00337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на заседании ЦМК ЕНД</w:t>
            </w:r>
          </w:p>
        </w:tc>
      </w:tr>
      <w:tr w:rsidR="00883810" w:rsidRPr="00337255" w:rsidTr="00337255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810" w:rsidRPr="00337255" w:rsidRDefault="00883810" w:rsidP="0033725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ЦМК _________________ / </w:t>
            </w:r>
            <w:proofErr w:type="spellStart"/>
            <w:r w:rsidRPr="00337255">
              <w:rPr>
                <w:rFonts w:ascii="Times New Roman" w:hAnsi="Times New Roman" w:cs="Times New Roman"/>
                <w:sz w:val="20"/>
                <w:szCs w:val="20"/>
              </w:rPr>
              <w:t>Е.А.Метелькова</w:t>
            </w:r>
            <w:proofErr w:type="spellEnd"/>
          </w:p>
          <w:p w:rsidR="00883810" w:rsidRPr="00337255" w:rsidRDefault="00883810" w:rsidP="0033725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</w:t>
            </w:r>
            <w:r w:rsidRPr="003372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11 </w:t>
            </w:r>
            <w:r w:rsidRPr="00337255"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«</w:t>
            </w:r>
            <w:r w:rsidRPr="003372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19</w:t>
            </w: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»  0</w:t>
            </w:r>
            <w:r w:rsidRPr="003372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. 202</w:t>
            </w:r>
            <w:r w:rsidRPr="003372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Pr="0033725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</w:tc>
      </w:tr>
    </w:tbl>
    <w:p w:rsidR="00D31A9C" w:rsidRDefault="00D31A9C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D31A9C" w:rsidSect="00337255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22B99"/>
    <w:multiLevelType w:val="hybridMultilevel"/>
    <w:tmpl w:val="BC126E36"/>
    <w:lvl w:ilvl="0" w:tplc="9E96735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0D15603"/>
    <w:multiLevelType w:val="hybridMultilevel"/>
    <w:tmpl w:val="B5A0421E"/>
    <w:lvl w:ilvl="0" w:tplc="F962B95E">
      <w:start w:val="1"/>
      <w:numFmt w:val="decimal"/>
      <w:lvlText w:val="%1."/>
      <w:lvlJc w:val="left"/>
      <w:pPr>
        <w:ind w:left="1353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31A9C"/>
    <w:rsid w:val="00011FEC"/>
    <w:rsid w:val="00057844"/>
    <w:rsid w:val="001065EF"/>
    <w:rsid w:val="002002AA"/>
    <w:rsid w:val="002B34BE"/>
    <w:rsid w:val="00337255"/>
    <w:rsid w:val="00616415"/>
    <w:rsid w:val="00883810"/>
    <w:rsid w:val="008B4BC8"/>
    <w:rsid w:val="009D23ED"/>
    <w:rsid w:val="00B53EA1"/>
    <w:rsid w:val="00CA32F7"/>
    <w:rsid w:val="00D31A9C"/>
    <w:rsid w:val="00D7154A"/>
    <w:rsid w:val="00F24088"/>
    <w:rsid w:val="00FB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WVH12txBda2uON6YIjry46eQOw==">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2021-05-21T12:22:00Z</cp:lastPrinted>
  <dcterms:created xsi:type="dcterms:W3CDTF">2020-06-08T03:00:00Z</dcterms:created>
  <dcterms:modified xsi:type="dcterms:W3CDTF">2021-05-21T12:22:00Z</dcterms:modified>
</cp:coreProperties>
</file>